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highlight w:val="none"/>
          <w:u w:val="single"/>
        </w:rPr>
      </w:pPr>
    </w:p>
    <w:p>
      <w:pPr>
        <w:rPr>
          <w:sz w:val="84"/>
          <w:szCs w:val="84"/>
          <w:highlight w:val="none"/>
          <w:u w:val="single"/>
        </w:rPr>
      </w:pPr>
    </w:p>
    <w:p>
      <w:pPr>
        <w:rPr>
          <w:sz w:val="84"/>
          <w:szCs w:val="84"/>
          <w:highlight w:val="none"/>
          <w:u w:val="single"/>
        </w:rPr>
      </w:pPr>
    </w:p>
    <w:p>
      <w:pPr>
        <w:rPr>
          <w:rFonts w:hint="eastAsia" w:ascii="方正小标宋简体" w:hAnsi="方正小标宋简体" w:eastAsia="方正小标宋简体" w:cs="方正小标宋简体"/>
          <w:sz w:val="52"/>
          <w:szCs w:val="52"/>
          <w:highlight w:val="none"/>
          <w:u w:val="single"/>
        </w:rPr>
      </w:pPr>
    </w:p>
    <w:p>
      <w:pPr>
        <w:jc w:val="center"/>
        <w:rPr>
          <w:rFonts w:hint="eastAsia" w:ascii="方正小标宋简体" w:hAnsi="方正小标宋简体" w:eastAsia="方正小标宋简体" w:cs="方正小标宋简体"/>
          <w:sz w:val="52"/>
          <w:szCs w:val="52"/>
          <w:highlight w:val="none"/>
        </w:rPr>
      </w:pPr>
      <w:r>
        <w:rPr>
          <w:rFonts w:hint="eastAsia" w:ascii="方正小标宋简体" w:hAnsi="方正小标宋简体" w:eastAsia="方正小标宋简体" w:cs="方正小标宋简体"/>
          <w:sz w:val="52"/>
          <w:szCs w:val="52"/>
          <w:highlight w:val="none"/>
          <w:lang w:val="en-US" w:eastAsia="zh-CN"/>
        </w:rPr>
        <w:t>2022</w:t>
      </w:r>
      <w:r>
        <w:rPr>
          <w:rFonts w:hint="eastAsia" w:ascii="方正小标宋简体" w:hAnsi="方正小标宋简体" w:eastAsia="方正小标宋简体" w:cs="方正小标宋简体"/>
          <w:sz w:val="52"/>
          <w:szCs w:val="52"/>
          <w:highlight w:val="none"/>
        </w:rPr>
        <w:t>年</w:t>
      </w:r>
      <w:r>
        <w:rPr>
          <w:rFonts w:hint="eastAsia" w:ascii="方正小标宋简体" w:hAnsi="方正小标宋简体" w:eastAsia="方正小标宋简体" w:cs="方正小标宋简体"/>
          <w:sz w:val="52"/>
          <w:szCs w:val="52"/>
          <w:highlight w:val="none"/>
          <w:lang w:eastAsia="zh-CN"/>
        </w:rPr>
        <w:t>海南省文联</w:t>
      </w:r>
      <w:r>
        <w:rPr>
          <w:rFonts w:hint="eastAsia" w:ascii="方正小标宋简体" w:hAnsi="方正小标宋简体" w:eastAsia="方正小标宋简体" w:cs="方正小标宋简体"/>
          <w:sz w:val="52"/>
          <w:szCs w:val="52"/>
          <w:highlight w:val="none"/>
        </w:rPr>
        <w:t>部门预算</w:t>
      </w: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jc w:val="both"/>
        <w:rPr>
          <w:rFonts w:hint="eastAsia" w:ascii="黑体" w:hAnsi="黑体" w:eastAsia="黑体"/>
          <w:sz w:val="52"/>
          <w:szCs w:val="52"/>
          <w:highlight w:val="none"/>
        </w:rPr>
      </w:pPr>
    </w:p>
    <w:p>
      <w:pPr>
        <w:jc w:val="center"/>
        <w:rPr>
          <w:rFonts w:hint="eastAsia" w:ascii="黑体" w:hAnsi="黑体" w:eastAsia="黑体"/>
          <w:sz w:val="52"/>
          <w:szCs w:val="52"/>
          <w:highlight w:val="none"/>
        </w:rPr>
      </w:pPr>
      <w:r>
        <w:rPr>
          <w:rFonts w:hint="eastAsia" w:ascii="黑体" w:hAnsi="黑体" w:eastAsia="黑体"/>
          <w:sz w:val="52"/>
          <w:szCs w:val="52"/>
          <w:highlight w:val="none"/>
        </w:rPr>
        <w:t>目录</w:t>
      </w:r>
    </w:p>
    <w:p>
      <w:pPr>
        <w:jc w:val="center"/>
        <w:rPr>
          <w:rFonts w:hint="eastAsia" w:ascii="黑体" w:hAnsi="黑体" w:eastAsia="黑体"/>
          <w:sz w:val="52"/>
          <w:szCs w:val="52"/>
          <w:highlight w:val="none"/>
        </w:rPr>
      </w:pPr>
    </w:p>
    <w:p>
      <w:pPr>
        <w:pStyle w:val="6"/>
        <w:numPr>
          <w:ilvl w:val="0"/>
          <w:numId w:val="1"/>
        </w:numPr>
        <w:ind w:firstLineChars="0"/>
        <w:jc w:val="left"/>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仿宋_GB2312" w:hAnsi="黑体" w:eastAsia="仿宋_GB2312" w:cs="仿宋_GB2312"/>
          <w:sz w:val="32"/>
          <w:szCs w:val="32"/>
          <w:highlight w:val="none"/>
        </w:rPr>
        <w:t xml:space="preserve"> </w:t>
      </w:r>
      <w:r>
        <w:rPr>
          <w:rFonts w:hint="eastAsia" w:ascii="黑体" w:hAnsi="黑体" w:eastAsia="黑体"/>
          <w:sz w:val="32"/>
          <w:szCs w:val="32"/>
          <w:highlight w:val="none"/>
          <w:lang w:eastAsia="zh-CN"/>
        </w:rPr>
        <w:t>海南省文联部门</w:t>
      </w:r>
      <w:r>
        <w:rPr>
          <w:rFonts w:hint="eastAsia" w:ascii="黑体" w:hAnsi="黑体" w:eastAsia="黑体"/>
          <w:sz w:val="32"/>
          <w:szCs w:val="32"/>
          <w:highlight w:val="none"/>
        </w:rPr>
        <w:t>概况</w:t>
      </w:r>
    </w:p>
    <w:p>
      <w:pPr>
        <w:pStyle w:val="6"/>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主要职能</w:t>
      </w:r>
    </w:p>
    <w:p>
      <w:pPr>
        <w:pStyle w:val="6"/>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部门预算单位构成</w:t>
      </w:r>
    </w:p>
    <w:p>
      <w:pPr>
        <w:pStyle w:val="6"/>
        <w:numPr>
          <w:ilvl w:val="0"/>
          <w:numId w:val="1"/>
        </w:numPr>
        <w:ind w:firstLineChars="0"/>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eastAsia="zh-CN"/>
        </w:rPr>
        <w:t>海南省文联</w:t>
      </w:r>
      <w:r>
        <w:rPr>
          <w:rFonts w:hint="eastAsia" w:ascii="黑体" w:hAnsi="黑体" w:eastAsia="黑体"/>
          <w:sz w:val="32"/>
          <w:szCs w:val="32"/>
          <w:highlight w:val="none"/>
          <w:lang w:val="en-US" w:eastAsia="zh-CN"/>
        </w:rPr>
        <w:t>2022年</w:t>
      </w:r>
      <w:r>
        <w:rPr>
          <w:rFonts w:hint="eastAsia" w:ascii="黑体" w:hAnsi="黑体" w:eastAsia="黑体"/>
          <w:sz w:val="32"/>
          <w:szCs w:val="32"/>
          <w:highlight w:val="none"/>
        </w:rPr>
        <w:t>部门预算表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财政拨款收支总表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一般公共预算基本支出表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一般公共预算“三公”经费支出表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政府性基金预算支出表。</w:t>
      </w:r>
    </w:p>
    <w:p>
      <w:pPr>
        <w:pStyle w:val="6"/>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政府性基金预算“三公”经费支出表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6"/>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项目支出绩效信息表</w:t>
      </w:r>
    </w:p>
    <w:p>
      <w:pPr>
        <w:pStyle w:val="6"/>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eastAsia="zh-CN"/>
        </w:rPr>
        <w:t>海南省文联</w:t>
      </w:r>
      <w:r>
        <w:rPr>
          <w:rFonts w:hint="eastAsia" w:ascii="黑体" w:hAnsi="黑体" w:eastAsia="黑体"/>
          <w:sz w:val="32"/>
          <w:szCs w:val="32"/>
          <w:highlight w:val="none"/>
          <w:lang w:val="en-US" w:eastAsia="zh-CN"/>
        </w:rPr>
        <w:t>2022年</w:t>
      </w:r>
      <w:r>
        <w:rPr>
          <w:rFonts w:hint="eastAsia" w:ascii="黑体" w:hAnsi="黑体" w:eastAsia="黑体"/>
          <w:sz w:val="32"/>
          <w:szCs w:val="32"/>
          <w:highlight w:val="none"/>
        </w:rPr>
        <w:t>部门预算情况说明</w:t>
      </w:r>
    </w:p>
    <w:p>
      <w:pPr>
        <w:pStyle w:val="6"/>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名词解释</w:t>
      </w:r>
    </w:p>
    <w:p>
      <w:pPr>
        <w:pStyle w:val="6"/>
        <w:numPr>
          <w:ilvl w:val="-1"/>
          <w:numId w:val="0"/>
        </w:numPr>
        <w:ind w:left="0" w:firstLine="0" w:firstLineChars="0"/>
        <w:jc w:val="left"/>
        <w:rPr>
          <w:rFonts w:ascii="仿宋_GB2312" w:hAnsi="仿宋_GB2312" w:eastAsia="仿宋_GB2312" w:cs="仿宋_GB2312"/>
          <w:sz w:val="32"/>
          <w:szCs w:val="32"/>
          <w:highlight w:val="none"/>
        </w:rPr>
      </w:pPr>
    </w:p>
    <w:p>
      <w:pPr>
        <w:pStyle w:val="6"/>
        <w:ind w:left="1320" w:firstLine="0" w:firstLineChars="0"/>
        <w:jc w:val="left"/>
        <w:rPr>
          <w:rFonts w:ascii="黑体" w:hAnsi="黑体" w:eastAsia="黑体"/>
          <w:sz w:val="32"/>
          <w:szCs w:val="32"/>
          <w:highlight w:val="none"/>
        </w:rPr>
      </w:pPr>
    </w:p>
    <w:p>
      <w:pPr>
        <w:jc w:val="left"/>
        <w:rPr>
          <w:rFonts w:ascii="黑体" w:hAnsi="黑体" w:eastAsia="黑体"/>
          <w:sz w:val="32"/>
          <w:szCs w:val="32"/>
          <w:highlight w:val="none"/>
        </w:rPr>
      </w:pPr>
    </w:p>
    <w:p>
      <w:pPr>
        <w:pStyle w:val="6"/>
        <w:numPr>
          <w:ilvl w:val="0"/>
          <w:numId w:val="4"/>
        </w:numPr>
        <w:ind w:firstLineChars="0"/>
        <w:jc w:val="center"/>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rPr>
        <w:t>概况</w:t>
      </w:r>
    </w:p>
    <w:p>
      <w:pPr>
        <w:pStyle w:val="6"/>
        <w:numPr>
          <w:ilvl w:val="0"/>
          <w:numId w:val="5"/>
        </w:numPr>
        <w:ind w:firstLineChars="0"/>
        <w:jc w:val="left"/>
        <w:rPr>
          <w:highlight w:val="none"/>
        </w:rPr>
      </w:pPr>
      <w:r>
        <w:rPr>
          <w:rFonts w:hint="eastAsia" w:ascii="黑体" w:hAnsi="黑体" w:eastAsia="黑体" w:cs="仿宋_GB2312"/>
          <w:sz w:val="32"/>
          <w:szCs w:val="32"/>
          <w:highlight w:val="none"/>
        </w:rPr>
        <w:t>主要职能</w:t>
      </w:r>
    </w:p>
    <w:p>
      <w:pPr>
        <w:pStyle w:val="10"/>
        <w:numPr>
          <w:ilvl w:val="0"/>
          <w:numId w:val="6"/>
        </w:numPr>
        <w:tabs>
          <w:tab w:val="left" w:pos="1580"/>
        </w:tabs>
        <w:spacing w:before="0" w:line="364" w:lineRule="auto"/>
        <w:ind w:firstLine="640"/>
        <w:rPr>
          <w:rFonts w:ascii="仿宋" w:hAnsi="仿宋" w:eastAsia="仿宋" w:cs="仿宋"/>
          <w:color w:val="000000" w:themeColor="text1"/>
          <w:sz w:val="32"/>
          <w:highlight w:val="none"/>
          <w14:textFill>
            <w14:solidFill>
              <w14:schemeClr w14:val="tx1"/>
            </w14:solidFill>
          </w14:textFill>
        </w:rPr>
      </w:pPr>
      <w:r>
        <w:rPr>
          <w:rFonts w:hint="eastAsia" w:ascii="仿宋" w:hAnsi="仿宋" w:eastAsia="仿宋" w:cs="仿宋"/>
          <w:color w:val="000000" w:themeColor="text1"/>
          <w:spacing w:val="6"/>
          <w:w w:val="95"/>
          <w:sz w:val="32"/>
          <w:highlight w:val="none"/>
          <w14:textFill>
            <w14:solidFill>
              <w14:schemeClr w14:val="tx1"/>
            </w14:solidFill>
          </w14:textFill>
        </w:rPr>
        <w:t xml:space="preserve">贯彻落实党的文艺路线、方针、政策，努力繁荣 </w:t>
      </w:r>
      <w:r>
        <w:rPr>
          <w:rFonts w:hint="eastAsia" w:ascii="仿宋" w:hAnsi="仿宋" w:eastAsia="仿宋" w:cs="仿宋"/>
          <w:color w:val="000000" w:themeColor="text1"/>
          <w:spacing w:val="6"/>
          <w:sz w:val="32"/>
          <w:highlight w:val="none"/>
          <w14:textFill>
            <w14:solidFill>
              <w14:schemeClr w14:val="tx1"/>
            </w14:solidFill>
          </w14:textFill>
        </w:rPr>
        <w:t>和发展社会</w:t>
      </w:r>
      <w:r>
        <w:rPr>
          <w:rFonts w:hint="eastAsia" w:ascii="仿宋" w:hAnsi="仿宋" w:eastAsia="仿宋" w:cs="仿宋"/>
          <w:color w:val="000000" w:themeColor="text1"/>
          <w:spacing w:val="6"/>
          <w:sz w:val="32"/>
          <w:highlight w:val="none"/>
          <w:lang w:eastAsia="zh-CN"/>
          <w14:textFill>
            <w14:solidFill>
              <w14:schemeClr w14:val="tx1"/>
            </w14:solidFill>
          </w14:textFill>
        </w:rPr>
        <w:t>主义</w:t>
      </w:r>
      <w:r>
        <w:rPr>
          <w:rFonts w:hint="eastAsia" w:ascii="仿宋" w:hAnsi="仿宋" w:eastAsia="仿宋" w:cs="仿宋"/>
          <w:color w:val="000000" w:themeColor="text1"/>
          <w:spacing w:val="6"/>
          <w:sz w:val="32"/>
          <w:highlight w:val="none"/>
          <w14:textFill>
            <w14:solidFill>
              <w14:schemeClr w14:val="tx1"/>
            </w14:solidFill>
          </w14:textFill>
        </w:rPr>
        <w:t>文艺事业。</w:t>
      </w:r>
    </w:p>
    <w:p>
      <w:pPr>
        <w:pStyle w:val="10"/>
        <w:numPr>
          <w:ilvl w:val="0"/>
          <w:numId w:val="6"/>
        </w:numPr>
        <w:tabs>
          <w:tab w:val="left" w:pos="1580"/>
        </w:tabs>
        <w:spacing w:before="2" w:line="364" w:lineRule="auto"/>
        <w:ind w:firstLine="640"/>
        <w:rPr>
          <w:rFonts w:ascii="仿宋" w:hAnsi="仿宋" w:eastAsia="仿宋" w:cs="仿宋"/>
          <w:color w:val="000000" w:themeColor="text1"/>
          <w:sz w:val="32"/>
          <w:highlight w:val="none"/>
          <w14:textFill>
            <w14:solidFill>
              <w14:schemeClr w14:val="tx1"/>
            </w14:solidFill>
          </w14:textFill>
        </w:rPr>
      </w:pPr>
      <w:r>
        <w:rPr>
          <w:rFonts w:hint="eastAsia" w:ascii="仿宋" w:hAnsi="仿宋" w:eastAsia="仿宋" w:cs="仿宋"/>
          <w:color w:val="000000" w:themeColor="text1"/>
          <w:spacing w:val="6"/>
          <w:w w:val="95"/>
          <w:sz w:val="32"/>
          <w:highlight w:val="none"/>
          <w14:textFill>
            <w14:solidFill>
              <w14:schemeClr w14:val="tx1"/>
            </w14:solidFill>
          </w14:textFill>
        </w:rPr>
        <w:t xml:space="preserve">围绕党的中心任务，结合文联工作特点，提出各 </w:t>
      </w:r>
      <w:r>
        <w:rPr>
          <w:rFonts w:hint="eastAsia" w:ascii="仿宋" w:hAnsi="仿宋" w:eastAsia="仿宋" w:cs="仿宋"/>
          <w:color w:val="000000" w:themeColor="text1"/>
          <w:spacing w:val="6"/>
          <w:sz w:val="32"/>
          <w:highlight w:val="none"/>
          <w14:textFill>
            <w14:solidFill>
              <w14:schemeClr w14:val="tx1"/>
            </w14:solidFill>
          </w14:textFill>
        </w:rPr>
        <w:t>时期文联工作的任务，制定全省文联的工作目标。</w:t>
      </w:r>
    </w:p>
    <w:p>
      <w:pPr>
        <w:pStyle w:val="10"/>
        <w:numPr>
          <w:ilvl w:val="0"/>
          <w:numId w:val="6"/>
        </w:numPr>
        <w:tabs>
          <w:tab w:val="left" w:pos="1580"/>
        </w:tabs>
        <w:spacing w:before="1" w:line="364" w:lineRule="auto"/>
        <w:ind w:firstLine="640"/>
        <w:rPr>
          <w:rFonts w:ascii="仿宋" w:hAnsi="仿宋" w:eastAsia="仿宋" w:cs="仿宋"/>
          <w:color w:val="000000" w:themeColor="text1"/>
          <w:sz w:val="32"/>
          <w:highlight w:val="none"/>
          <w14:textFill>
            <w14:solidFill>
              <w14:schemeClr w14:val="tx1"/>
            </w14:solidFill>
          </w14:textFill>
        </w:rPr>
      </w:pPr>
      <w:r>
        <w:rPr>
          <w:rFonts w:hint="eastAsia" w:ascii="仿宋" w:hAnsi="仿宋" w:eastAsia="仿宋" w:cs="仿宋"/>
          <w:color w:val="000000" w:themeColor="text1"/>
          <w:spacing w:val="6"/>
          <w:w w:val="95"/>
          <w:sz w:val="32"/>
          <w:highlight w:val="none"/>
          <w:lang w:eastAsia="zh-CN"/>
          <w14:textFill>
            <w14:solidFill>
              <w14:schemeClr w14:val="tx1"/>
            </w14:solidFill>
          </w14:textFill>
        </w:rPr>
        <w:t>做好同我省各文艺家协会和各市县文联的联络、协调、服务工作，组织会员间的交流活动</w:t>
      </w:r>
      <w:r>
        <w:rPr>
          <w:rFonts w:hint="eastAsia" w:ascii="仿宋" w:hAnsi="仿宋" w:eastAsia="仿宋" w:cs="仿宋"/>
          <w:color w:val="000000" w:themeColor="text1"/>
          <w:spacing w:val="11"/>
          <w:w w:val="95"/>
          <w:sz w:val="32"/>
          <w:highlight w:val="none"/>
          <w14:textFill>
            <w14:solidFill>
              <w14:schemeClr w14:val="tx1"/>
            </w14:solidFill>
          </w14:textFill>
        </w:rPr>
        <w:t>，反映文艺工作者的情况和要</w:t>
      </w:r>
      <w:r>
        <w:rPr>
          <w:rFonts w:hint="eastAsia" w:ascii="仿宋" w:hAnsi="仿宋" w:eastAsia="仿宋" w:cs="仿宋"/>
          <w:color w:val="000000" w:themeColor="text1"/>
          <w:spacing w:val="11"/>
          <w:sz w:val="32"/>
          <w:highlight w:val="none"/>
          <w14:textFill>
            <w14:solidFill>
              <w14:schemeClr w14:val="tx1"/>
            </w14:solidFill>
          </w14:textFill>
        </w:rPr>
        <w:t>求，维护文艺工作者的合法权益。</w:t>
      </w:r>
    </w:p>
    <w:p>
      <w:pPr>
        <w:pStyle w:val="10"/>
        <w:numPr>
          <w:ilvl w:val="0"/>
          <w:numId w:val="6"/>
        </w:numPr>
        <w:tabs>
          <w:tab w:val="left" w:pos="1580"/>
        </w:tabs>
        <w:spacing w:before="3" w:line="364" w:lineRule="auto"/>
        <w:ind w:firstLine="640"/>
        <w:rPr>
          <w:rFonts w:ascii="仿宋" w:hAnsi="仿宋" w:eastAsia="仿宋" w:cs="仿宋"/>
          <w:color w:val="000000" w:themeColor="text1"/>
          <w:sz w:val="32"/>
          <w:highlight w:val="none"/>
          <w14:textFill>
            <w14:solidFill>
              <w14:schemeClr w14:val="tx1"/>
            </w14:solidFill>
          </w14:textFill>
        </w:rPr>
      </w:pPr>
      <w:r>
        <w:rPr>
          <w:rFonts w:hint="eastAsia" w:ascii="仿宋" w:hAnsi="仿宋" w:eastAsia="仿宋" w:cs="仿宋"/>
          <w:color w:val="000000" w:themeColor="text1"/>
          <w:spacing w:val="6"/>
          <w:w w:val="95"/>
          <w:sz w:val="32"/>
          <w:highlight w:val="none"/>
          <w14:textFill>
            <w14:solidFill>
              <w14:schemeClr w14:val="tx1"/>
            </w14:solidFill>
          </w14:textFill>
        </w:rPr>
        <w:t xml:space="preserve">指导各协会开展人才培训和调研工作，总结交流 </w:t>
      </w:r>
      <w:r>
        <w:rPr>
          <w:rFonts w:hint="eastAsia" w:ascii="仿宋" w:hAnsi="仿宋" w:eastAsia="仿宋" w:cs="仿宋"/>
          <w:color w:val="000000" w:themeColor="text1"/>
          <w:spacing w:val="11"/>
          <w:w w:val="95"/>
          <w:sz w:val="32"/>
          <w:highlight w:val="none"/>
          <w14:textFill>
            <w14:solidFill>
              <w14:schemeClr w14:val="tx1"/>
            </w14:solidFill>
          </w14:textFill>
        </w:rPr>
        <w:t>创作经验，开展文艺评奖、表彰、纪念活动，协同有关部门有重点地组织创作、展出，</w:t>
      </w:r>
      <w:r>
        <w:rPr>
          <w:rFonts w:hint="eastAsia" w:ascii="仿宋" w:hAnsi="仿宋" w:eastAsia="仿宋" w:cs="仿宋"/>
          <w:color w:val="000000" w:themeColor="text1"/>
          <w:spacing w:val="11"/>
          <w:w w:val="95"/>
          <w:sz w:val="32"/>
          <w:highlight w:val="none"/>
          <w:lang w:eastAsia="zh-CN"/>
          <w14:textFill>
            <w14:solidFill>
              <w14:schemeClr w14:val="tx1"/>
            </w14:solidFill>
          </w14:textFill>
        </w:rPr>
        <w:t>演出，</w:t>
      </w:r>
      <w:r>
        <w:rPr>
          <w:rFonts w:hint="eastAsia" w:ascii="仿宋" w:hAnsi="仿宋" w:eastAsia="仿宋" w:cs="仿宋"/>
          <w:color w:val="000000" w:themeColor="text1"/>
          <w:spacing w:val="11"/>
          <w:w w:val="95"/>
          <w:sz w:val="32"/>
          <w:highlight w:val="none"/>
          <w14:textFill>
            <w14:solidFill>
              <w14:schemeClr w14:val="tx1"/>
            </w14:solidFill>
          </w14:textFill>
        </w:rPr>
        <w:t>力求出作品、出精品、</w:t>
      </w:r>
      <w:r>
        <w:rPr>
          <w:rFonts w:hint="eastAsia" w:ascii="仿宋" w:hAnsi="仿宋" w:eastAsia="仿宋" w:cs="仿宋"/>
          <w:color w:val="000000" w:themeColor="text1"/>
          <w:spacing w:val="11"/>
          <w:sz w:val="32"/>
          <w:highlight w:val="none"/>
          <w14:textFill>
            <w14:solidFill>
              <w14:schemeClr w14:val="tx1"/>
            </w14:solidFill>
          </w14:textFill>
        </w:rPr>
        <w:t>出人才。</w:t>
      </w:r>
    </w:p>
    <w:p>
      <w:pPr>
        <w:pStyle w:val="10"/>
        <w:numPr>
          <w:ilvl w:val="0"/>
          <w:numId w:val="6"/>
        </w:numPr>
        <w:tabs>
          <w:tab w:val="left" w:pos="1580"/>
        </w:tabs>
        <w:spacing w:before="4" w:line="364" w:lineRule="auto"/>
        <w:ind w:firstLine="629"/>
        <w:rPr>
          <w:rFonts w:ascii="仿宋" w:hAnsi="仿宋" w:eastAsia="仿宋" w:cs="仿宋"/>
          <w:color w:val="000000" w:themeColor="text1"/>
          <w:spacing w:val="6"/>
          <w:w w:val="95"/>
          <w:sz w:val="32"/>
          <w:highlight w:val="none"/>
          <w14:textFill>
            <w14:solidFill>
              <w14:schemeClr w14:val="tx1"/>
            </w14:solidFill>
          </w14:textFill>
        </w:rPr>
      </w:pPr>
      <w:r>
        <w:rPr>
          <w:rFonts w:hint="eastAsia" w:ascii="仿宋" w:hAnsi="仿宋" w:eastAsia="仿宋" w:cs="仿宋"/>
          <w:color w:val="000000" w:themeColor="text1"/>
          <w:spacing w:val="6"/>
          <w:w w:val="95"/>
          <w:sz w:val="32"/>
          <w:highlight w:val="none"/>
          <w14:textFill>
            <w14:solidFill>
              <w14:schemeClr w14:val="tx1"/>
            </w14:solidFill>
          </w14:textFill>
        </w:rPr>
        <w:t>组织召开省文联和我省各文艺家协会代表大会、</w:t>
      </w:r>
      <w:r>
        <w:rPr>
          <w:rFonts w:hint="eastAsia" w:ascii="仿宋" w:hAnsi="仿宋" w:eastAsia="仿宋" w:cs="仿宋"/>
          <w:color w:val="000000" w:themeColor="text1"/>
          <w:spacing w:val="6"/>
          <w:w w:val="95"/>
          <w:sz w:val="32"/>
          <w:highlight w:val="none"/>
          <w:lang w:eastAsia="zh-CN"/>
          <w14:textFill>
            <w14:solidFill>
              <w14:schemeClr w14:val="tx1"/>
            </w14:solidFill>
          </w14:textFill>
        </w:rPr>
        <w:t>全委会、</w:t>
      </w:r>
      <w:r>
        <w:rPr>
          <w:rFonts w:hint="eastAsia" w:ascii="仿宋" w:hAnsi="仿宋" w:eastAsia="仿宋" w:cs="仿宋"/>
          <w:color w:val="000000" w:themeColor="text1"/>
          <w:spacing w:val="6"/>
          <w:w w:val="95"/>
          <w:sz w:val="32"/>
          <w:highlight w:val="none"/>
          <w14:textFill>
            <w14:solidFill>
              <w14:schemeClr w14:val="tx1"/>
            </w14:solidFill>
          </w14:textFill>
        </w:rPr>
        <w:t xml:space="preserve"> </w:t>
      </w:r>
      <w:r>
        <w:rPr>
          <w:rFonts w:hint="eastAsia" w:ascii="仿宋" w:hAnsi="仿宋" w:eastAsia="仿宋" w:cs="仿宋"/>
          <w:color w:val="000000" w:themeColor="text1"/>
          <w:spacing w:val="11"/>
          <w:w w:val="95"/>
          <w:sz w:val="32"/>
          <w:highlight w:val="none"/>
          <w14:textFill>
            <w14:solidFill>
              <w14:schemeClr w14:val="tx1"/>
            </w14:solidFill>
          </w14:textFill>
        </w:rPr>
        <w:t>理事会和主席团会议。组织召开省文联</w:t>
      </w:r>
      <w:r>
        <w:rPr>
          <w:rFonts w:hint="eastAsia" w:ascii="仿宋" w:hAnsi="仿宋" w:eastAsia="仿宋" w:cs="仿宋"/>
          <w:color w:val="000000" w:themeColor="text1"/>
          <w:spacing w:val="11"/>
          <w:w w:val="95"/>
          <w:sz w:val="32"/>
          <w:highlight w:val="none"/>
          <w:lang w:eastAsia="zh-CN"/>
          <w14:textFill>
            <w14:solidFill>
              <w14:schemeClr w14:val="tx1"/>
            </w14:solidFill>
          </w14:textFill>
        </w:rPr>
        <w:t>系统</w:t>
      </w:r>
      <w:r>
        <w:rPr>
          <w:rFonts w:hint="eastAsia" w:ascii="仿宋" w:hAnsi="仿宋" w:eastAsia="仿宋" w:cs="仿宋"/>
          <w:color w:val="000000" w:themeColor="text1"/>
          <w:spacing w:val="11"/>
          <w:w w:val="95"/>
          <w:sz w:val="32"/>
          <w:highlight w:val="none"/>
          <w14:textFill>
            <w14:solidFill>
              <w14:schemeClr w14:val="tx1"/>
            </w14:solidFill>
          </w14:textFill>
        </w:rPr>
        <w:t xml:space="preserve">的工作和研讨 </w:t>
      </w:r>
      <w:r>
        <w:rPr>
          <w:rFonts w:hint="eastAsia" w:ascii="仿宋" w:hAnsi="仿宋" w:eastAsia="仿宋" w:cs="仿宋"/>
          <w:color w:val="000000" w:themeColor="text1"/>
          <w:spacing w:val="11"/>
          <w:sz w:val="32"/>
          <w:highlight w:val="none"/>
          <w14:textFill>
            <w14:solidFill>
              <w14:schemeClr w14:val="tx1"/>
            </w14:solidFill>
          </w14:textFill>
        </w:rPr>
        <w:t>会议。</w:t>
      </w:r>
    </w:p>
    <w:p>
      <w:pPr>
        <w:numPr>
          <w:ilvl w:val="0"/>
          <w:numId w:val="7"/>
        </w:numPr>
        <w:ind w:firstLine="632" w:firstLineChars="200"/>
        <w:rPr>
          <w:rFonts w:ascii="仿宋" w:hAnsi="仿宋" w:eastAsia="仿宋" w:cs="仿宋"/>
          <w:color w:val="000000" w:themeColor="text1"/>
          <w:spacing w:val="11"/>
          <w:sz w:val="32"/>
          <w:highlight w:val="none"/>
          <w14:textFill>
            <w14:solidFill>
              <w14:schemeClr w14:val="tx1"/>
            </w14:solidFill>
          </w14:textFill>
        </w:rPr>
      </w:pPr>
      <w:r>
        <w:rPr>
          <w:rFonts w:hint="eastAsia" w:ascii="仿宋" w:hAnsi="仿宋" w:eastAsia="仿宋" w:cs="仿宋"/>
          <w:color w:val="000000" w:themeColor="text1"/>
          <w:spacing w:val="6"/>
          <w:w w:val="95"/>
          <w:sz w:val="32"/>
          <w:highlight w:val="none"/>
          <w14:textFill>
            <w14:solidFill>
              <w14:schemeClr w14:val="tx1"/>
            </w14:solidFill>
          </w14:textFill>
        </w:rPr>
        <w:t>加强同全国各省及</w:t>
      </w:r>
      <w:r>
        <w:rPr>
          <w:rFonts w:hint="eastAsia" w:ascii="仿宋" w:hAnsi="仿宋" w:eastAsia="仿宋" w:cs="仿宋"/>
          <w:color w:val="000000" w:themeColor="text1"/>
          <w:spacing w:val="6"/>
          <w:w w:val="95"/>
          <w:sz w:val="32"/>
          <w:highlight w:val="none"/>
          <w:lang w:eastAsia="zh-CN"/>
          <w14:textFill>
            <w14:solidFill>
              <w14:schemeClr w14:val="tx1"/>
            </w14:solidFill>
          </w14:textFill>
        </w:rPr>
        <w:t>各</w:t>
      </w:r>
      <w:r>
        <w:rPr>
          <w:rFonts w:hint="eastAsia" w:ascii="仿宋" w:hAnsi="仿宋" w:eastAsia="仿宋" w:cs="仿宋"/>
          <w:color w:val="000000" w:themeColor="text1"/>
          <w:spacing w:val="6"/>
          <w:w w:val="95"/>
          <w:sz w:val="32"/>
          <w:highlight w:val="none"/>
          <w14:textFill>
            <w14:solidFill>
              <w14:schemeClr w14:val="tx1"/>
            </w14:solidFill>
          </w14:textFill>
        </w:rPr>
        <w:t>行业文联、文艺家协会的交流</w:t>
      </w:r>
      <w:r>
        <w:rPr>
          <w:rFonts w:hint="eastAsia" w:ascii="仿宋" w:hAnsi="仿宋" w:eastAsia="仿宋" w:cs="仿宋"/>
          <w:color w:val="000000" w:themeColor="text1"/>
          <w:spacing w:val="11"/>
          <w:w w:val="95"/>
          <w:sz w:val="32"/>
          <w:highlight w:val="none"/>
          <w14:textFill>
            <w14:solidFill>
              <w14:schemeClr w14:val="tx1"/>
            </w14:solidFill>
          </w14:textFill>
        </w:rPr>
        <w:t>与协作，加强同港澳台及海外文艺界人士和文学艺术团体</w:t>
      </w:r>
      <w:r>
        <w:rPr>
          <w:rFonts w:hint="eastAsia" w:ascii="仿宋" w:hAnsi="仿宋" w:eastAsia="仿宋" w:cs="仿宋"/>
          <w:color w:val="000000" w:themeColor="text1"/>
          <w:spacing w:val="11"/>
          <w:sz w:val="32"/>
          <w:highlight w:val="none"/>
          <w14:textFill>
            <w14:solidFill>
              <w14:schemeClr w14:val="tx1"/>
            </w14:solidFill>
          </w14:textFill>
        </w:rPr>
        <w:t>的联系，增进友谊，开展国际文化交流活动。</w:t>
      </w:r>
    </w:p>
    <w:p>
      <w:pPr>
        <w:numPr>
          <w:ilvl w:val="0"/>
          <w:numId w:val="7"/>
        </w:numPr>
        <w:ind w:firstLine="632" w:firstLineChars="200"/>
        <w:rPr>
          <w:rFonts w:ascii="仿宋" w:hAnsi="仿宋" w:eastAsia="仿宋" w:cs="仿宋"/>
          <w:color w:val="000000" w:themeColor="text1"/>
          <w:spacing w:val="6"/>
          <w:sz w:val="32"/>
          <w:highlight w:val="none"/>
          <w14:textFill>
            <w14:solidFill>
              <w14:schemeClr w14:val="tx1"/>
            </w14:solidFill>
          </w14:textFill>
        </w:rPr>
      </w:pPr>
      <w:r>
        <w:rPr>
          <w:rFonts w:hint="eastAsia" w:ascii="仿宋" w:hAnsi="仿宋" w:eastAsia="仿宋" w:cs="仿宋"/>
          <w:color w:val="000000" w:themeColor="text1"/>
          <w:spacing w:val="6"/>
          <w:w w:val="95"/>
          <w:sz w:val="32"/>
          <w:highlight w:val="none"/>
          <w14:textFill>
            <w14:solidFill>
              <w14:schemeClr w14:val="tx1"/>
            </w14:solidFill>
          </w14:textFill>
        </w:rPr>
        <w:t>负责对团体会员的服务工作</w:t>
      </w:r>
      <w:r>
        <w:rPr>
          <w:rFonts w:hint="eastAsia" w:ascii="仿宋" w:hAnsi="仿宋" w:eastAsia="仿宋" w:cs="仿宋"/>
          <w:color w:val="000000" w:themeColor="text1"/>
          <w:spacing w:val="6"/>
          <w:w w:val="95"/>
          <w:sz w:val="32"/>
          <w:highlight w:val="none"/>
          <w:lang w:eastAsia="zh-CN"/>
          <w14:textFill>
            <w14:solidFill>
              <w14:schemeClr w14:val="tx1"/>
            </w14:solidFill>
          </w14:textFill>
        </w:rPr>
        <w:t>；</w:t>
      </w:r>
      <w:r>
        <w:rPr>
          <w:rFonts w:hint="eastAsia" w:ascii="仿宋" w:hAnsi="仿宋" w:eastAsia="仿宋" w:cs="仿宋"/>
          <w:color w:val="000000" w:themeColor="text1"/>
          <w:spacing w:val="6"/>
          <w:w w:val="95"/>
          <w:sz w:val="32"/>
          <w:highlight w:val="none"/>
          <w14:textFill>
            <w14:solidFill>
              <w14:schemeClr w14:val="tx1"/>
            </w14:solidFill>
          </w14:textFill>
        </w:rPr>
        <w:t>帮助各团体会员改</w:t>
      </w:r>
      <w:r>
        <w:rPr>
          <w:rFonts w:hint="eastAsia" w:ascii="仿宋" w:hAnsi="仿宋" w:eastAsia="仿宋" w:cs="仿宋"/>
          <w:color w:val="000000" w:themeColor="text1"/>
          <w:spacing w:val="6"/>
          <w:sz w:val="32"/>
          <w:highlight w:val="none"/>
          <w14:textFill>
            <w14:solidFill>
              <w14:schemeClr w14:val="tx1"/>
            </w14:solidFill>
          </w14:textFill>
        </w:rPr>
        <w:t>善文艺家的工作条件。</w:t>
      </w:r>
    </w:p>
    <w:p>
      <w:pPr>
        <w:numPr>
          <w:ilvl w:val="0"/>
          <w:numId w:val="7"/>
        </w:numPr>
        <w:ind w:firstLine="664" w:firstLineChars="200"/>
        <w:rPr>
          <w:rFonts w:ascii="仿宋" w:hAnsi="仿宋" w:eastAsia="仿宋" w:cs="仿宋"/>
          <w:color w:val="000000" w:themeColor="text1"/>
          <w:spacing w:val="6"/>
          <w:sz w:val="32"/>
          <w:highlight w:val="none"/>
          <w14:textFill>
            <w14:solidFill>
              <w14:schemeClr w14:val="tx1"/>
            </w14:solidFill>
          </w14:textFill>
        </w:rPr>
      </w:pPr>
      <w:r>
        <w:rPr>
          <w:rFonts w:hint="eastAsia" w:ascii="仿宋" w:hAnsi="仿宋" w:eastAsia="仿宋" w:cs="仿宋"/>
          <w:color w:val="000000" w:themeColor="text1"/>
          <w:spacing w:val="6"/>
          <w:sz w:val="32"/>
          <w:highlight w:val="none"/>
          <w:lang w:eastAsia="zh-CN"/>
          <w14:textFill>
            <w14:solidFill>
              <w14:schemeClr w14:val="tx1"/>
            </w14:solidFill>
          </w14:textFill>
        </w:rPr>
        <w:t>承担省委、省政府和上级文联交办的其他工作。</w:t>
      </w:r>
    </w:p>
    <w:p>
      <w:pPr>
        <w:pStyle w:val="6"/>
        <w:numPr>
          <w:ilvl w:val="0"/>
          <w:numId w:val="5"/>
        </w:numPr>
        <w:ind w:firstLineChars="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部门预算单位构成</w:t>
      </w:r>
    </w:p>
    <w:p>
      <w:pPr>
        <w:ind w:firstLine="800" w:firstLineChars="25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纳入</w:t>
      </w:r>
      <w:r>
        <w:rPr>
          <w:rFonts w:hint="eastAsia" w:ascii="仿宋_GB2312" w:hAnsi="黑体" w:eastAsia="仿宋_GB2312" w:cs="仿宋_GB2312"/>
          <w:sz w:val="32"/>
          <w:szCs w:val="32"/>
          <w:highlight w:val="none"/>
          <w:lang w:eastAsia="zh-CN"/>
        </w:rPr>
        <w:t>海南省文联部门</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cs="仿宋_GB2312"/>
          <w:sz w:val="32"/>
          <w:szCs w:val="32"/>
          <w:highlight w:val="none"/>
        </w:rPr>
        <w:t>年部门预算编制范围的二级预算单位包括：</w:t>
      </w:r>
    </w:p>
    <w:p>
      <w:pPr>
        <w:pStyle w:val="6"/>
        <w:numPr>
          <w:ilvl w:val="0"/>
          <w:numId w:val="8"/>
        </w:numPr>
        <w:ind w:firstLineChars="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eastAsia="zh-CN"/>
        </w:rPr>
        <w:t>海南省文联本级</w:t>
      </w:r>
    </w:p>
    <w:p>
      <w:pPr>
        <w:pStyle w:val="6"/>
        <w:numPr>
          <w:ilvl w:val="0"/>
          <w:numId w:val="8"/>
        </w:numPr>
        <w:ind w:firstLineChars="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eastAsia="zh-CN"/>
        </w:rPr>
        <w:t>海南省书画院</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 xml:space="preserve">第二部分 </w:t>
      </w:r>
      <w:r>
        <w:rPr>
          <w:rFonts w:hint="eastAsia" w:ascii="仿宋_GB2312" w:hAnsi="黑体" w:eastAsia="仿宋_GB2312" w:cs="仿宋_GB2312"/>
          <w:sz w:val="32"/>
          <w:szCs w:val="32"/>
          <w:highlight w:val="none"/>
        </w:rPr>
        <w:t xml:space="preserve"> </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hint="eastAsia" w:ascii="黑体" w:hAnsi="黑体" w:eastAsia="黑体"/>
          <w:sz w:val="32"/>
          <w:szCs w:val="32"/>
          <w:highlight w:val="none"/>
        </w:rPr>
        <w:t>年部门（单位）预算表</w:t>
      </w:r>
    </w:p>
    <w:p>
      <w:pPr>
        <w:ind w:left="800"/>
        <w:jc w:val="center"/>
        <w:rPr>
          <w:rFonts w:ascii="黑体" w:hAnsi="黑体" w:eastAsia="黑体"/>
          <w:sz w:val="32"/>
          <w:szCs w:val="32"/>
          <w:highlight w:val="none"/>
        </w:rPr>
      </w:pPr>
      <w:r>
        <w:rPr>
          <w:rFonts w:hint="eastAsia" w:ascii="仿宋_GB2312" w:hAnsi="黑体" w:eastAsia="仿宋_GB2312"/>
          <w:b/>
          <w:sz w:val="32"/>
          <w:szCs w:val="32"/>
          <w:highlight w:val="none"/>
        </w:rPr>
        <w:t>（此部分内容即</w:t>
      </w:r>
      <w:r>
        <w:rPr>
          <w:rFonts w:hint="eastAsia" w:ascii="仿宋_GB2312" w:hAnsi="黑体" w:eastAsia="仿宋_GB2312"/>
          <w:b/>
          <w:sz w:val="32"/>
          <w:szCs w:val="32"/>
          <w:highlight w:val="none"/>
          <w:lang w:eastAsia="zh-CN"/>
        </w:rPr>
        <w:t>海南省文联部门</w:t>
      </w:r>
      <w:r>
        <w:rPr>
          <w:rFonts w:hint="eastAsia" w:ascii="仿宋_GB2312" w:hAnsi="黑体" w:eastAsia="仿宋_GB2312"/>
          <w:b/>
          <w:sz w:val="32"/>
          <w:szCs w:val="32"/>
          <w:highlight w:val="none"/>
        </w:rPr>
        <w:t>预算公开表）</w:t>
      </w:r>
    </w:p>
    <w:p>
      <w:pPr>
        <w:ind w:firstLine="480" w:firstLineChars="150"/>
        <w:rPr>
          <w:rFonts w:ascii="黑体" w:hAnsi="黑体" w:eastAsia="黑体"/>
          <w:sz w:val="32"/>
          <w:szCs w:val="32"/>
          <w:highlight w:val="none"/>
        </w:rPr>
      </w:pPr>
      <w:r>
        <w:rPr>
          <w:rFonts w:hint="eastAsia" w:ascii="黑体" w:hAnsi="黑体" w:eastAsia="黑体"/>
          <w:sz w:val="32"/>
          <w:szCs w:val="32"/>
          <w:highlight w:val="none"/>
        </w:rPr>
        <w:t xml:space="preserve">第三部分   </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hint="eastAsia" w:ascii="黑体" w:hAnsi="黑体" w:eastAsia="黑体"/>
          <w:sz w:val="32"/>
          <w:szCs w:val="32"/>
          <w:highlight w:val="none"/>
        </w:rPr>
        <w:t>年部门预算情况说明</w:t>
      </w:r>
    </w:p>
    <w:p>
      <w:pPr>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一、关于</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hint="eastAsia" w:ascii="黑体" w:hAnsi="黑体" w:eastAsia="黑体"/>
          <w:sz w:val="32"/>
          <w:szCs w:val="32"/>
          <w:highlight w:val="none"/>
        </w:rPr>
        <w:t>年财政拨款收支预算情况的总体说明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海南省文联</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年财政拨款收支总预算</w:t>
      </w:r>
      <w:r>
        <w:rPr>
          <w:rFonts w:hint="eastAsia" w:ascii="仿宋_GB2312" w:hAnsi="黑体" w:eastAsia="仿宋_GB2312" w:cs="仿宋_GB2312"/>
          <w:sz w:val="32"/>
          <w:szCs w:val="32"/>
          <w:highlight w:val="none"/>
        </w:rPr>
        <w:t>2359.86</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rPr>
        <w:t>增加</w:t>
      </w:r>
      <w:r>
        <w:rPr>
          <w:rFonts w:hint="eastAsia" w:ascii="仿宋_GB2312" w:hAnsi="黑体" w:eastAsia="仿宋_GB2312" w:cs="仿宋_GB2312"/>
          <w:sz w:val="32"/>
          <w:szCs w:val="32"/>
          <w:highlight w:val="none"/>
          <w:u w:val="none"/>
          <w:lang w:val="en-US" w:eastAsia="zh-CN"/>
        </w:rPr>
        <w:t>1157.46</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主要因为</w:t>
      </w:r>
      <w:r>
        <w:rPr>
          <w:rFonts w:hint="eastAsia" w:ascii="仿宋_GB2312" w:hAnsi="黑体" w:eastAsia="仿宋_GB2312"/>
          <w:sz w:val="32"/>
          <w:szCs w:val="32"/>
          <w:highlight w:val="none"/>
          <w:u w:val="none"/>
          <w:lang w:val="en-US" w:eastAsia="zh-CN"/>
        </w:rPr>
        <w:t>2021年财政预算改革，往年需</w:t>
      </w:r>
      <w:r>
        <w:rPr>
          <w:rFonts w:hint="eastAsia" w:ascii="仿宋_GB2312" w:hAnsi="黑体" w:eastAsia="仿宋_GB2312"/>
          <w:sz w:val="32"/>
          <w:szCs w:val="32"/>
          <w:highlight w:val="none"/>
          <w:u w:val="none"/>
          <w:lang w:eastAsia="zh-CN"/>
        </w:rPr>
        <w:t>向省委宣传部申请宣传文化事业发展专项资金支持的项目经费都由部门直接向省财政厅申请，并纳入部门年度预算安排（</w:t>
      </w:r>
      <w:r>
        <w:rPr>
          <w:rFonts w:hint="eastAsia" w:ascii="仿宋_GB2312" w:hAnsi="黑体" w:eastAsia="仿宋_GB2312"/>
          <w:sz w:val="32"/>
          <w:szCs w:val="32"/>
          <w:highlight w:val="none"/>
          <w:u w:val="none"/>
          <w:lang w:val="en-US" w:eastAsia="zh-CN"/>
        </w:rPr>
        <w:t>2021年省委宣传部支持604万元）</w:t>
      </w:r>
      <w:r>
        <w:rPr>
          <w:rFonts w:hint="eastAsia" w:ascii="仿宋_GB2312" w:hAnsi="黑体" w:eastAsia="仿宋_GB2312"/>
          <w:sz w:val="32"/>
          <w:szCs w:val="32"/>
          <w:highlight w:val="none"/>
          <w:u w:val="none"/>
          <w:lang w:eastAsia="zh-CN"/>
        </w:rPr>
        <w:t>；</w:t>
      </w:r>
      <w:r>
        <w:rPr>
          <w:rFonts w:hint="eastAsia" w:ascii="仿宋_GB2312" w:hAnsi="黑体" w:eastAsia="仿宋_GB2312"/>
          <w:sz w:val="32"/>
          <w:szCs w:val="32"/>
          <w:highlight w:val="none"/>
          <w:u w:val="none"/>
          <w:lang w:val="en-US" w:eastAsia="zh-CN"/>
        </w:rPr>
        <w:t>其次因为2022年部门实际</w:t>
      </w:r>
      <w:r>
        <w:rPr>
          <w:rFonts w:hint="eastAsia" w:ascii="仿宋_GB2312" w:hAnsi="黑体" w:eastAsia="仿宋_GB2312"/>
          <w:sz w:val="32"/>
          <w:szCs w:val="32"/>
          <w:highlight w:val="none"/>
          <w:u w:val="none"/>
          <w:lang w:eastAsia="zh-CN"/>
        </w:rPr>
        <w:t>工作需要新增了“文艺工作者教育培训”、“省文联第七次代表大会（五年一届）”等十五个一次性项目</w:t>
      </w:r>
      <w:r>
        <w:rPr>
          <w:rFonts w:hint="eastAsia" w:ascii="仿宋_GB2312" w:hAnsi="黑体" w:eastAsia="仿宋_GB2312"/>
          <w:sz w:val="32"/>
          <w:szCs w:val="32"/>
          <w:highlight w:val="none"/>
          <w:u w:val="none"/>
        </w:rPr>
        <w:t>。其中，收入总计</w:t>
      </w:r>
      <w:r>
        <w:rPr>
          <w:rFonts w:hint="eastAsia" w:ascii="仿宋_GB2312" w:hAnsi="黑体" w:eastAsia="仿宋_GB2312" w:cs="仿宋_GB2312"/>
          <w:sz w:val="32"/>
          <w:szCs w:val="32"/>
          <w:highlight w:val="none"/>
          <w:u w:val="none"/>
        </w:rPr>
        <w:t>2359.86</w:t>
      </w:r>
      <w:r>
        <w:rPr>
          <w:rFonts w:hint="eastAsia" w:ascii="仿宋_GB2312" w:hAnsi="黑体" w:eastAsia="仿宋_GB2312"/>
          <w:sz w:val="32"/>
          <w:szCs w:val="32"/>
          <w:highlight w:val="none"/>
          <w:u w:val="none"/>
        </w:rPr>
        <w:t>万元，包括一般公共预算本年收入</w:t>
      </w:r>
      <w:r>
        <w:rPr>
          <w:rFonts w:hint="eastAsia" w:ascii="仿宋_GB2312" w:hAnsi="黑体" w:eastAsia="仿宋_GB2312" w:cs="仿宋_GB2312"/>
          <w:sz w:val="32"/>
          <w:szCs w:val="32"/>
          <w:highlight w:val="none"/>
          <w:u w:val="none"/>
        </w:rPr>
        <w:t>2359.86</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万元，政府性基金预算本年收入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万元；支出总计</w:t>
      </w:r>
      <w:r>
        <w:rPr>
          <w:rFonts w:hint="eastAsia" w:ascii="仿宋_GB2312" w:hAnsi="黑体" w:eastAsia="仿宋_GB2312" w:cs="仿宋_GB2312"/>
          <w:sz w:val="32"/>
          <w:szCs w:val="32"/>
          <w:highlight w:val="none"/>
        </w:rPr>
        <w:t>2359.86</w:t>
      </w:r>
      <w:r>
        <w:rPr>
          <w:rFonts w:hint="eastAsia" w:ascii="仿宋_GB2312" w:hAnsi="黑体" w:eastAsia="仿宋_GB2312"/>
          <w:sz w:val="32"/>
          <w:szCs w:val="32"/>
          <w:highlight w:val="none"/>
        </w:rPr>
        <w:t>万元，包括一般公共服务支出</w:t>
      </w:r>
      <w:r>
        <w:rPr>
          <w:rFonts w:hint="eastAsia" w:ascii="仿宋_GB2312" w:hAnsi="黑体" w:eastAsia="仿宋_GB2312" w:cs="仿宋_GB2312"/>
          <w:sz w:val="32"/>
          <w:szCs w:val="32"/>
          <w:highlight w:val="none"/>
        </w:rPr>
        <w:t>1410.58</w:t>
      </w:r>
      <w:r>
        <w:rPr>
          <w:rFonts w:hint="eastAsia" w:ascii="仿宋_GB2312" w:hAnsi="黑体" w:eastAsia="仿宋_GB2312"/>
          <w:sz w:val="32"/>
          <w:szCs w:val="32"/>
          <w:highlight w:val="none"/>
        </w:rPr>
        <w:t>万元、教育支出</w:t>
      </w:r>
      <w:r>
        <w:rPr>
          <w:rFonts w:hint="eastAsia" w:ascii="仿宋_GB2312" w:hAnsi="黑体" w:eastAsia="仿宋_GB2312"/>
          <w:sz w:val="32"/>
          <w:szCs w:val="32"/>
          <w:highlight w:val="none"/>
          <w:lang w:val="en-US" w:eastAsia="zh-CN"/>
        </w:rPr>
        <w:t>50</w:t>
      </w:r>
      <w:r>
        <w:rPr>
          <w:rFonts w:hint="eastAsia" w:ascii="仿宋_GB2312" w:hAnsi="黑体" w:eastAsia="仿宋_GB2312"/>
          <w:sz w:val="32"/>
          <w:szCs w:val="32"/>
          <w:highlight w:val="none"/>
        </w:rPr>
        <w:t>万元、文化旅游体育与传媒支出</w:t>
      </w:r>
      <w:r>
        <w:rPr>
          <w:rFonts w:hint="eastAsia" w:ascii="仿宋_GB2312" w:hAnsi="黑体" w:eastAsia="仿宋_GB2312"/>
          <w:sz w:val="32"/>
          <w:szCs w:val="32"/>
          <w:highlight w:val="none"/>
          <w:lang w:val="en-US" w:eastAsia="zh-CN"/>
        </w:rPr>
        <w:t>703.41</w:t>
      </w:r>
      <w:r>
        <w:rPr>
          <w:rFonts w:hint="eastAsia" w:ascii="仿宋_GB2312" w:hAnsi="黑体" w:eastAsia="仿宋_GB2312"/>
          <w:sz w:val="32"/>
          <w:szCs w:val="32"/>
          <w:highlight w:val="none"/>
        </w:rPr>
        <w:t>万元、社会保障和就业支出</w:t>
      </w:r>
      <w:r>
        <w:rPr>
          <w:rFonts w:hint="eastAsia" w:ascii="仿宋_GB2312" w:hAnsi="黑体" w:eastAsia="仿宋_GB2312"/>
          <w:sz w:val="32"/>
          <w:szCs w:val="32"/>
          <w:highlight w:val="none"/>
          <w:lang w:val="en-US" w:eastAsia="zh-CN"/>
        </w:rPr>
        <w:t>106万元</w:t>
      </w: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val="en-US" w:eastAsia="zh-CN"/>
        </w:rPr>
        <w:t>34.22万元、住房保障支出55.65万元、</w:t>
      </w:r>
      <w:r>
        <w:rPr>
          <w:rFonts w:hint="eastAsia" w:ascii="仿宋_GB2312" w:hAnsi="黑体" w:eastAsia="仿宋_GB2312"/>
          <w:sz w:val="32"/>
          <w:szCs w:val="32"/>
          <w:highlight w:val="none"/>
        </w:rPr>
        <w:t>结转下年</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二、关于</w:t>
      </w:r>
      <w:r>
        <w:rPr>
          <w:rFonts w:hint="eastAsia" w:ascii="黑体" w:hAnsi="黑体" w:eastAsia="黑体"/>
          <w:sz w:val="32"/>
          <w:szCs w:val="32"/>
          <w:highlight w:val="none"/>
          <w:lang w:eastAsia="zh-CN"/>
        </w:rPr>
        <w:t>海南省文联部门</w:t>
      </w:r>
      <w:r>
        <w:rPr>
          <w:rFonts w:hint="eastAsia" w:ascii="黑体" w:hAnsi="黑体" w:eastAsia="黑体"/>
          <w:sz w:val="32"/>
          <w:szCs w:val="32"/>
          <w:highlight w:val="none"/>
          <w:lang w:val="en-US" w:eastAsia="zh-CN"/>
        </w:rPr>
        <w:t>2022</w:t>
      </w:r>
      <w:r>
        <w:rPr>
          <w:rFonts w:hint="eastAsia" w:ascii="黑体" w:hAnsi="黑体" w:eastAsia="黑体"/>
          <w:sz w:val="32"/>
          <w:szCs w:val="32"/>
          <w:highlight w:val="none"/>
        </w:rPr>
        <w:t>年一般公共预算当年拨款情况说明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海南文联部门</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年一般公共预算当年拨款</w:t>
      </w:r>
      <w:r>
        <w:rPr>
          <w:rFonts w:hint="eastAsia" w:ascii="仿宋_GB2312" w:hAnsi="黑体" w:eastAsia="仿宋_GB2312" w:cs="仿宋_GB2312"/>
          <w:sz w:val="32"/>
          <w:szCs w:val="32"/>
          <w:highlight w:val="none"/>
        </w:rPr>
        <w:t>2359.86</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rPr>
        <w:t>增加</w:t>
      </w:r>
      <w:r>
        <w:rPr>
          <w:rFonts w:hint="eastAsia" w:ascii="仿宋_GB2312" w:hAnsi="黑体" w:eastAsia="仿宋_GB2312" w:cs="仿宋_GB2312"/>
          <w:sz w:val="32"/>
          <w:szCs w:val="32"/>
          <w:highlight w:val="none"/>
          <w:u w:val="none"/>
          <w:lang w:val="en-US" w:eastAsia="zh-CN"/>
        </w:rPr>
        <w:t>1157.46</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主要因为</w:t>
      </w:r>
      <w:r>
        <w:rPr>
          <w:rFonts w:hint="eastAsia" w:ascii="仿宋_GB2312" w:hAnsi="黑体" w:eastAsia="仿宋_GB2312"/>
          <w:sz w:val="32"/>
          <w:szCs w:val="32"/>
          <w:highlight w:val="none"/>
          <w:u w:val="none"/>
          <w:lang w:val="en-US" w:eastAsia="zh-CN"/>
        </w:rPr>
        <w:t>2021年财政预算改革，往年需</w:t>
      </w:r>
      <w:r>
        <w:rPr>
          <w:rFonts w:hint="eastAsia" w:ascii="仿宋_GB2312" w:hAnsi="黑体" w:eastAsia="仿宋_GB2312"/>
          <w:sz w:val="32"/>
          <w:szCs w:val="32"/>
          <w:highlight w:val="none"/>
          <w:u w:val="none"/>
          <w:lang w:eastAsia="zh-CN"/>
        </w:rPr>
        <w:t>向省委宣传部申请宣传文化事业发展专项资金支持的项目经费都由部门直接向省财政厅申请，并纳入部门年度预算安排</w:t>
      </w:r>
      <w:r>
        <w:rPr>
          <w:rFonts w:hint="eastAsia" w:ascii="仿宋_GB2312" w:hAnsi="黑体" w:eastAsia="仿宋_GB2312"/>
          <w:sz w:val="32"/>
          <w:szCs w:val="32"/>
          <w:highlight w:val="none"/>
          <w:u w:val="none"/>
          <w:lang w:val="en-US" w:eastAsia="zh-CN"/>
        </w:rPr>
        <w:t>(2021年省委宣传部支持604万元）</w:t>
      </w:r>
      <w:r>
        <w:rPr>
          <w:rFonts w:hint="eastAsia" w:ascii="仿宋_GB2312" w:hAnsi="黑体" w:eastAsia="仿宋_GB2312"/>
          <w:sz w:val="32"/>
          <w:szCs w:val="32"/>
          <w:highlight w:val="none"/>
          <w:u w:val="none"/>
          <w:lang w:eastAsia="zh-CN"/>
        </w:rPr>
        <w:t>；</w:t>
      </w:r>
      <w:r>
        <w:rPr>
          <w:rFonts w:hint="eastAsia" w:ascii="仿宋_GB2312" w:hAnsi="黑体" w:eastAsia="仿宋_GB2312"/>
          <w:sz w:val="32"/>
          <w:szCs w:val="32"/>
          <w:highlight w:val="none"/>
          <w:u w:val="none"/>
          <w:lang w:val="en-US" w:eastAsia="zh-CN"/>
        </w:rPr>
        <w:t>其次因为2022年部门实际</w:t>
      </w:r>
      <w:r>
        <w:rPr>
          <w:rFonts w:hint="eastAsia" w:ascii="仿宋_GB2312" w:hAnsi="黑体" w:eastAsia="仿宋_GB2312"/>
          <w:sz w:val="32"/>
          <w:szCs w:val="32"/>
          <w:highlight w:val="none"/>
          <w:u w:val="none"/>
          <w:lang w:eastAsia="zh-CN"/>
        </w:rPr>
        <w:t>工作需要新增了“文艺工作者教育培训”、“省文联第七次代表大会（五年一届）”等十五个一次性项目</w:t>
      </w:r>
      <w:r>
        <w:rPr>
          <w:rFonts w:hint="eastAsia" w:ascii="仿宋_GB2312" w:hAnsi="黑体" w:eastAsia="仿宋_GB2312"/>
          <w:sz w:val="32"/>
          <w:szCs w:val="32"/>
          <w:highlight w:val="none"/>
          <w:u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一般公共服务支出1410.58万元</w:t>
      </w:r>
      <w:r>
        <w:rPr>
          <w:rFonts w:hint="eastAsia" w:ascii="仿宋_GB2312" w:hAnsi="黑体" w:eastAsia="仿宋_GB2312" w:cs="仿宋_GB2312"/>
          <w:sz w:val="32"/>
          <w:szCs w:val="32"/>
          <w:highlight w:val="none"/>
          <w:lang w:eastAsia="zh-CN"/>
        </w:rPr>
        <w:t>，占</w:t>
      </w:r>
      <w:r>
        <w:rPr>
          <w:rFonts w:hint="eastAsia" w:ascii="仿宋_GB2312" w:hAnsi="黑体" w:eastAsia="仿宋_GB2312" w:cs="仿宋_GB2312"/>
          <w:sz w:val="32"/>
          <w:szCs w:val="32"/>
          <w:highlight w:val="none"/>
          <w:lang w:val="en-US" w:eastAsia="zh-CN"/>
        </w:rPr>
        <w:t>59.77%；</w:t>
      </w:r>
      <w:r>
        <w:rPr>
          <w:rFonts w:hint="eastAsia" w:ascii="仿宋_GB2312" w:hAnsi="黑体" w:eastAsia="仿宋_GB2312" w:cs="仿宋_GB2312"/>
          <w:sz w:val="32"/>
          <w:szCs w:val="32"/>
          <w:highlight w:val="none"/>
          <w:lang w:eastAsia="zh-CN"/>
        </w:rPr>
        <w:t>教育</w:t>
      </w:r>
      <w:r>
        <w:rPr>
          <w:rFonts w:hint="eastAsia" w:ascii="仿宋_GB2312" w:hAnsi="黑体" w:eastAsia="仿宋_GB2312" w:cs="仿宋_GB2312"/>
          <w:sz w:val="32"/>
          <w:szCs w:val="32"/>
          <w:highlight w:val="none"/>
        </w:rPr>
        <w:t>支出50万元</w:t>
      </w:r>
      <w:r>
        <w:rPr>
          <w:rFonts w:hint="eastAsia" w:ascii="仿宋_GB2312" w:hAnsi="黑体" w:eastAsia="仿宋_GB2312" w:cs="仿宋_GB2312"/>
          <w:sz w:val="32"/>
          <w:szCs w:val="32"/>
          <w:highlight w:val="none"/>
          <w:lang w:eastAsia="zh-CN"/>
        </w:rPr>
        <w:t>，占</w:t>
      </w:r>
      <w:r>
        <w:rPr>
          <w:rFonts w:hint="eastAsia" w:ascii="仿宋_GB2312" w:hAnsi="黑体" w:eastAsia="仿宋_GB2312" w:cs="仿宋_GB2312"/>
          <w:sz w:val="32"/>
          <w:szCs w:val="32"/>
          <w:highlight w:val="none"/>
          <w:lang w:val="en-US" w:eastAsia="zh-CN"/>
        </w:rPr>
        <w:t>2.12%；</w:t>
      </w:r>
      <w:r>
        <w:rPr>
          <w:rFonts w:hint="eastAsia" w:ascii="仿宋_GB2312" w:hAnsi="黑体" w:eastAsia="仿宋_GB2312" w:cs="仿宋_GB2312"/>
          <w:sz w:val="32"/>
          <w:szCs w:val="32"/>
          <w:highlight w:val="none"/>
        </w:rPr>
        <w:t>文化旅游体育与传媒支出703.41万元</w:t>
      </w:r>
      <w:r>
        <w:rPr>
          <w:rFonts w:hint="eastAsia" w:ascii="仿宋_GB2312" w:hAnsi="黑体" w:eastAsia="仿宋_GB2312" w:cs="仿宋_GB2312"/>
          <w:sz w:val="32"/>
          <w:szCs w:val="32"/>
          <w:highlight w:val="none"/>
          <w:lang w:eastAsia="zh-CN"/>
        </w:rPr>
        <w:t>，占</w:t>
      </w:r>
      <w:r>
        <w:rPr>
          <w:rFonts w:hint="eastAsia" w:ascii="仿宋_GB2312" w:hAnsi="黑体" w:eastAsia="仿宋_GB2312" w:cs="仿宋_GB2312"/>
          <w:sz w:val="32"/>
          <w:szCs w:val="32"/>
          <w:highlight w:val="none"/>
          <w:lang w:val="en-US" w:eastAsia="zh-CN"/>
        </w:rPr>
        <w:t>29.81%；</w:t>
      </w:r>
      <w:r>
        <w:rPr>
          <w:rFonts w:hint="eastAsia" w:ascii="仿宋_GB2312" w:hAnsi="黑体" w:eastAsia="仿宋_GB2312" w:cs="仿宋_GB2312"/>
          <w:sz w:val="32"/>
          <w:szCs w:val="32"/>
          <w:highlight w:val="none"/>
        </w:rPr>
        <w:t>社会保障和就业支出10</w:t>
      </w:r>
      <w:r>
        <w:rPr>
          <w:rFonts w:hint="eastAsia" w:ascii="仿宋_GB2312" w:hAnsi="黑体" w:eastAsia="仿宋_GB2312" w:cs="仿宋_GB2312"/>
          <w:sz w:val="32"/>
          <w:szCs w:val="32"/>
          <w:highlight w:val="none"/>
          <w:lang w:val="en-US" w:eastAsia="zh-CN"/>
        </w:rPr>
        <w:t>6</w:t>
      </w:r>
      <w:r>
        <w:rPr>
          <w:rFonts w:hint="eastAsia" w:ascii="仿宋_GB2312" w:hAnsi="黑体" w:eastAsia="仿宋_GB2312" w:cs="仿宋_GB2312"/>
          <w:sz w:val="32"/>
          <w:szCs w:val="32"/>
          <w:highlight w:val="none"/>
          <w:lang w:eastAsia="zh-CN"/>
        </w:rPr>
        <w:t>万元，</w:t>
      </w:r>
      <w:r>
        <w:rPr>
          <w:rFonts w:hint="eastAsia" w:ascii="仿宋_GB2312" w:hAnsi="黑体" w:eastAsia="仿宋_GB2312" w:cs="仿宋_GB2312"/>
          <w:sz w:val="32"/>
          <w:szCs w:val="32"/>
          <w:highlight w:val="none"/>
          <w:lang w:val="en-US" w:eastAsia="zh-CN"/>
        </w:rPr>
        <w:t>4.49%；</w:t>
      </w:r>
      <w:r>
        <w:rPr>
          <w:rFonts w:hint="eastAsia" w:ascii="仿宋_GB2312" w:hAnsi="黑体" w:eastAsia="仿宋_GB2312" w:cs="仿宋_GB2312"/>
          <w:sz w:val="32"/>
          <w:szCs w:val="32"/>
          <w:highlight w:val="none"/>
          <w:lang w:eastAsia="zh-CN"/>
        </w:rPr>
        <w:t>卫生健康支出34.22万元，占</w:t>
      </w:r>
      <w:r>
        <w:rPr>
          <w:rFonts w:hint="eastAsia" w:ascii="仿宋_GB2312" w:hAnsi="黑体" w:eastAsia="仿宋_GB2312" w:cs="仿宋_GB2312"/>
          <w:sz w:val="32"/>
          <w:szCs w:val="32"/>
          <w:highlight w:val="none"/>
          <w:lang w:val="en-US" w:eastAsia="zh-CN"/>
        </w:rPr>
        <w:t>1.45%；</w:t>
      </w:r>
      <w:r>
        <w:rPr>
          <w:rFonts w:hint="eastAsia" w:ascii="仿宋_GB2312" w:hAnsi="黑体" w:eastAsia="仿宋_GB2312" w:cs="仿宋_GB2312"/>
          <w:sz w:val="32"/>
          <w:szCs w:val="32"/>
          <w:highlight w:val="none"/>
          <w:lang w:eastAsia="zh-CN"/>
        </w:rPr>
        <w:t>住房保障支出55.65万元，占</w:t>
      </w:r>
      <w:r>
        <w:rPr>
          <w:rFonts w:hint="eastAsia" w:ascii="仿宋_GB2312" w:hAnsi="黑体" w:eastAsia="仿宋_GB2312" w:cs="仿宋_GB2312"/>
          <w:sz w:val="32"/>
          <w:szCs w:val="32"/>
          <w:highlight w:val="none"/>
          <w:lang w:val="en-US" w:eastAsia="zh-CN"/>
        </w:rPr>
        <w:t>2.36%。</w:t>
      </w:r>
    </w:p>
    <w:p>
      <w:pPr>
        <w:ind w:firstLine="640"/>
        <w:jc w:val="left"/>
        <w:rPr>
          <w:rFonts w:hint="eastAsia"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rPr>
        <w:t>1.一般公共服务</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（类）群众团体事务（款）一般行政管理事务（项）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44.5</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9.5</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省书画院新增</w:t>
      </w:r>
      <w:r>
        <w:rPr>
          <w:rFonts w:hint="eastAsia" w:ascii="仿宋_GB2312" w:hAnsi="黑体" w:eastAsia="仿宋_GB2312"/>
          <w:sz w:val="32"/>
          <w:szCs w:val="32"/>
          <w:highlight w:val="none"/>
        </w:rPr>
        <w:t>一次性项目支出功能分类科目调整，</w:t>
      </w:r>
      <w:r>
        <w:rPr>
          <w:rFonts w:hint="eastAsia" w:ascii="仿宋_GB2312" w:hAnsi="黑体" w:eastAsia="仿宋_GB2312"/>
          <w:sz w:val="32"/>
          <w:szCs w:val="32"/>
          <w:highlight w:val="none"/>
          <w:lang w:eastAsia="zh-CN"/>
        </w:rPr>
        <w:t>导致此项支出预算数增加</w:t>
      </w:r>
      <w:r>
        <w:rPr>
          <w:rFonts w:hint="eastAsia" w:ascii="仿宋_GB2312" w:hAnsi="黑体" w:eastAsia="仿宋_GB2312"/>
          <w:sz w:val="32"/>
          <w:szCs w:val="32"/>
          <w:highlight w:val="none"/>
          <w:lang w:val="en-US" w:eastAsia="zh-CN"/>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一般公共服务</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（类）群众团体事务（款）事业运行（项）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53.42</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7.16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省书画院新增</w:t>
      </w:r>
      <w:r>
        <w:rPr>
          <w:rFonts w:hint="eastAsia" w:ascii="仿宋_GB2312" w:hAnsi="黑体" w:eastAsia="仿宋_GB2312"/>
          <w:sz w:val="32"/>
          <w:szCs w:val="32"/>
          <w:highlight w:val="none"/>
        </w:rPr>
        <w:t>一次性项目支出功能分类科目调整，</w:t>
      </w:r>
      <w:r>
        <w:rPr>
          <w:rFonts w:hint="eastAsia" w:ascii="仿宋_GB2312" w:hAnsi="黑体" w:eastAsia="仿宋_GB2312"/>
          <w:sz w:val="32"/>
          <w:szCs w:val="32"/>
          <w:highlight w:val="none"/>
          <w:lang w:eastAsia="zh-CN"/>
        </w:rPr>
        <w:t>导致此项支出预算数增加</w:t>
      </w:r>
      <w:r>
        <w:rPr>
          <w:rFonts w:hint="eastAsia" w:ascii="仿宋_GB2312" w:hAnsi="黑体" w:eastAsia="仿宋_GB2312"/>
          <w:sz w:val="32"/>
          <w:szCs w:val="32"/>
          <w:highlight w:val="none"/>
          <w:u w:val="none"/>
          <w:lang w:eastAsia="zh-CN"/>
        </w:rPr>
        <w:t>。</w:t>
      </w:r>
    </w:p>
    <w:p>
      <w:pPr>
        <w:ind w:firstLine="640" w:firstLineChars="200"/>
        <w:rPr>
          <w:rFonts w:hint="eastAsia" w:ascii="仿宋_GB2312" w:hAnsi="黑体" w:eastAsia="仿宋_GB2312"/>
          <w:sz w:val="32"/>
          <w:szCs w:val="32"/>
          <w:highlight w:val="none"/>
          <w:u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cs="仿宋_GB2312"/>
          <w:sz w:val="32"/>
          <w:szCs w:val="32"/>
          <w:highlight w:val="none"/>
        </w:rPr>
        <w:t xml:space="preserve"> 一般公共服务</w:t>
      </w:r>
      <w:r>
        <w:rPr>
          <w:rFonts w:hint="eastAsia" w:ascii="仿宋_GB2312" w:hAnsi="黑体" w:eastAsia="仿宋_GB2312" w:cs="仿宋_GB2312"/>
          <w:sz w:val="32"/>
          <w:szCs w:val="32"/>
          <w:highlight w:val="none"/>
          <w:lang w:eastAsia="zh-CN"/>
        </w:rPr>
        <w:t>支出</w:t>
      </w:r>
      <w:r>
        <w:rPr>
          <w:rFonts w:hint="eastAsia" w:ascii="仿宋_GB2312" w:hAnsi="黑体" w:eastAsia="仿宋_GB2312" w:cs="仿宋_GB2312"/>
          <w:sz w:val="32"/>
          <w:szCs w:val="32"/>
          <w:highlight w:val="none"/>
        </w:rPr>
        <w:t>（类）群众团体事务（款）其他群众团体事务支出（项）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1312.66</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主要</w:t>
      </w:r>
      <w:r>
        <w:rPr>
          <w:rFonts w:hint="eastAsia" w:ascii="仿宋_GB2312" w:hAnsi="黑体" w:eastAsia="仿宋_GB2312"/>
          <w:sz w:val="32"/>
          <w:szCs w:val="32"/>
          <w:highlight w:val="none"/>
          <w:u w:val="none"/>
          <w:lang w:eastAsia="zh-CN"/>
        </w:rPr>
        <w:t>因为</w:t>
      </w:r>
      <w:r>
        <w:rPr>
          <w:rFonts w:hint="eastAsia" w:ascii="仿宋_GB2312" w:hAnsi="黑体" w:eastAsia="仿宋_GB2312"/>
          <w:sz w:val="32"/>
          <w:szCs w:val="32"/>
          <w:highlight w:val="none"/>
          <w:u w:val="none"/>
          <w:lang w:val="en-US" w:eastAsia="zh-CN"/>
        </w:rPr>
        <w:t>2021年财政预算改革，往年需</w:t>
      </w:r>
      <w:r>
        <w:rPr>
          <w:rFonts w:hint="eastAsia" w:ascii="仿宋_GB2312" w:hAnsi="黑体" w:eastAsia="仿宋_GB2312"/>
          <w:sz w:val="32"/>
          <w:szCs w:val="32"/>
          <w:highlight w:val="none"/>
          <w:u w:val="none"/>
          <w:lang w:eastAsia="zh-CN"/>
        </w:rPr>
        <w:t>向省委宣传部申请宣传文化事业发展专项资金支持的项目经费都由部门直接向省财政厅申请，并纳入部门年度预算安排；</w:t>
      </w:r>
      <w:r>
        <w:rPr>
          <w:rFonts w:hint="eastAsia" w:ascii="仿宋_GB2312" w:hAnsi="黑体" w:eastAsia="仿宋_GB2312"/>
          <w:sz w:val="32"/>
          <w:szCs w:val="32"/>
          <w:highlight w:val="none"/>
          <w:u w:val="none"/>
          <w:lang w:val="en-US" w:eastAsia="zh-CN"/>
        </w:rPr>
        <w:t>其次因为2022年部门实际</w:t>
      </w:r>
      <w:r>
        <w:rPr>
          <w:rFonts w:hint="eastAsia" w:ascii="仿宋_GB2312" w:hAnsi="黑体" w:eastAsia="仿宋_GB2312"/>
          <w:sz w:val="32"/>
          <w:szCs w:val="32"/>
          <w:highlight w:val="none"/>
          <w:u w:val="none"/>
          <w:lang w:eastAsia="zh-CN"/>
        </w:rPr>
        <w:t>工作需要新增了“文艺工作者教育培训”、“省文联第七次代表大会（五年一届）”等十五个一次性项目。</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4.教育支出（类）进修及培训（款）培训支出（项）2022年预算数为50万元，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50万元，主要是为贯彻落实《中共中央国务院关于新时代加强和改进思想政治工作的意见》（中办发{2021}15号）和中宣部《关于开展文娱领域综合治理工作的通知》要求，按照省委宣传部相关指示精神，我会拟在2022年全年度开展系列教育培训工作，故培训支出预算数增加。</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5.</w:t>
      </w:r>
      <w:r>
        <w:rPr>
          <w:rFonts w:hint="eastAsia" w:ascii="仿宋_GB2312" w:hAnsi="黑体" w:eastAsia="仿宋_GB2312" w:cs="仿宋_GB2312"/>
          <w:sz w:val="32"/>
          <w:szCs w:val="32"/>
          <w:highlight w:val="none"/>
        </w:rPr>
        <w:t xml:space="preserve"> 文化旅游体育与传媒支出（类）文化和旅游（款）行政运行（项）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703.41</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93.04</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是因为</w:t>
      </w:r>
      <w:r>
        <w:rPr>
          <w:rFonts w:hint="eastAsia" w:ascii="仿宋_GB2312" w:hAnsi="黑体" w:eastAsia="仿宋_GB2312"/>
          <w:sz w:val="32"/>
          <w:szCs w:val="32"/>
          <w:highlight w:val="none"/>
          <w:lang w:val="en-US" w:eastAsia="zh-CN"/>
        </w:rPr>
        <w:t>在职在编</w:t>
      </w:r>
      <w:r>
        <w:rPr>
          <w:rFonts w:hint="eastAsia" w:ascii="仿宋_GB2312" w:hAnsi="黑体" w:eastAsia="仿宋_GB2312"/>
          <w:sz w:val="32"/>
          <w:szCs w:val="32"/>
          <w:highlight w:val="none"/>
          <w:lang w:eastAsia="zh-CN"/>
        </w:rPr>
        <w:t>人员增加，使得工资等基本支出增加；其次是因为“文化研创及展演”项目今年支出功能科目发生变化，由去年的“其他群众团体事务支出（项）”变为“行政运行（项</w:t>
      </w:r>
      <w:bookmarkStart w:id="0" w:name="_GoBack"/>
      <w:bookmarkEnd w:id="0"/>
      <w:r>
        <w:rPr>
          <w:rFonts w:hint="eastAsia" w:ascii="仿宋_GB2312" w:hAnsi="黑体" w:eastAsia="仿宋_GB2312"/>
          <w:sz w:val="32"/>
          <w:szCs w:val="32"/>
          <w:highlight w:val="none"/>
          <w:lang w:eastAsia="zh-CN"/>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6.社会保障和就业支出</w:t>
      </w:r>
      <w:r>
        <w:rPr>
          <w:rFonts w:hint="eastAsia" w:ascii="仿宋_GB2312" w:hAnsi="黑体" w:eastAsia="仿宋_GB2312" w:cs="仿宋_GB2312"/>
          <w:sz w:val="32"/>
          <w:szCs w:val="32"/>
          <w:highlight w:val="none"/>
        </w:rPr>
        <w:t>（类）行政事业单位养老支出（款）机关事业单位基本养老保险缴费支出（项）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64.42</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7.63</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是因为</w:t>
      </w:r>
      <w:r>
        <w:rPr>
          <w:rFonts w:hint="eastAsia" w:ascii="仿宋_GB2312" w:hAnsi="黑体" w:eastAsia="仿宋_GB2312"/>
          <w:sz w:val="32"/>
          <w:szCs w:val="32"/>
          <w:highlight w:val="none"/>
          <w:lang w:val="en-US" w:eastAsia="zh-CN"/>
        </w:rPr>
        <w:t>在职在编</w:t>
      </w:r>
      <w:r>
        <w:rPr>
          <w:rFonts w:hint="eastAsia" w:ascii="仿宋_GB2312" w:hAnsi="黑体" w:eastAsia="仿宋_GB2312"/>
          <w:sz w:val="32"/>
          <w:szCs w:val="32"/>
          <w:highlight w:val="none"/>
          <w:lang w:eastAsia="zh-CN"/>
        </w:rPr>
        <w:t>人员增加、养老基数提高等原因。</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7.社会保障和就业支出</w:t>
      </w:r>
      <w:r>
        <w:rPr>
          <w:rFonts w:hint="eastAsia" w:ascii="仿宋_GB2312" w:hAnsi="黑体" w:eastAsia="仿宋_GB2312" w:cs="仿宋_GB2312"/>
          <w:sz w:val="32"/>
          <w:szCs w:val="32"/>
          <w:highlight w:val="none"/>
        </w:rPr>
        <w:t>（类）行政事业单位养老支出（款）机关事业单位职业年金缴费支出（项）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39.95</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19.8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因为原定</w:t>
      </w:r>
      <w:r>
        <w:rPr>
          <w:rFonts w:hint="eastAsia" w:ascii="仿宋_GB2312" w:hAnsi="黑体" w:eastAsia="仿宋_GB2312"/>
          <w:sz w:val="32"/>
          <w:szCs w:val="32"/>
          <w:highlight w:val="none"/>
          <w:lang w:val="en-US" w:eastAsia="zh-CN"/>
        </w:rPr>
        <w:t>2021年12月退休人员的相关手续在2022年办理以及支出，导致2022年职业年金支出预算数增加。</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u w:val="none"/>
          <w:lang w:val="en-US" w:eastAsia="zh-CN"/>
        </w:rPr>
        <w:t>社会保障和就业支出</w:t>
      </w:r>
      <w:r>
        <w:rPr>
          <w:rFonts w:hint="eastAsia" w:ascii="仿宋_GB2312" w:hAnsi="黑体" w:eastAsia="仿宋_GB2312" w:cs="仿宋_GB2312"/>
          <w:sz w:val="32"/>
          <w:szCs w:val="32"/>
          <w:highlight w:val="none"/>
        </w:rPr>
        <w:t>（类）抚恤（款）其他优抚支出（项）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年预算数为1.63万元，</w:t>
      </w:r>
      <w:r>
        <w:rPr>
          <w:rFonts w:hint="eastAsia" w:ascii="仿宋_GB2312" w:hAnsi="黑体" w:eastAsia="仿宋_GB2312"/>
          <w:sz w:val="32"/>
          <w:szCs w:val="32"/>
          <w:highlight w:val="none"/>
          <w:lang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eastAsia="zh-CN"/>
        </w:rPr>
        <w:t>持平</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u w:val="none"/>
          <w:lang w:val="en-US" w:eastAsia="zh-CN"/>
        </w:rPr>
        <w:t>卫生健康支出</w:t>
      </w:r>
      <w:r>
        <w:rPr>
          <w:rFonts w:hint="eastAsia" w:ascii="仿宋_GB2312" w:hAnsi="黑体" w:eastAsia="仿宋_GB2312" w:cs="仿宋_GB2312"/>
          <w:sz w:val="32"/>
          <w:szCs w:val="32"/>
          <w:highlight w:val="none"/>
        </w:rPr>
        <w:t>（类）行政事业单位医疗（款）行政单位医疗（项）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年预算数为31.88万元，比上年预算数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4.05</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因为在职在编人员增加。</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sz w:val="32"/>
          <w:szCs w:val="32"/>
          <w:highlight w:val="none"/>
          <w:lang w:val="en-US" w:eastAsia="zh-CN"/>
        </w:rPr>
        <w:t>10.</w:t>
      </w:r>
      <w:r>
        <w:rPr>
          <w:rFonts w:hint="eastAsia" w:ascii="仿宋_GB2312" w:hAnsi="黑体" w:eastAsia="仿宋_GB2312"/>
          <w:sz w:val="32"/>
          <w:szCs w:val="32"/>
          <w:highlight w:val="none"/>
          <w:u w:val="none"/>
          <w:lang w:val="en-US" w:eastAsia="zh-CN"/>
        </w:rPr>
        <w:t>卫生健康支出</w:t>
      </w:r>
      <w:r>
        <w:rPr>
          <w:rFonts w:hint="eastAsia" w:ascii="仿宋_GB2312" w:hAnsi="黑体" w:eastAsia="仿宋_GB2312" w:cs="仿宋_GB2312"/>
          <w:sz w:val="32"/>
          <w:szCs w:val="32"/>
          <w:highlight w:val="none"/>
        </w:rPr>
        <w:t>（类）行政事业单位医疗（款）事业单位医疗（项）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年预算数为2.34万元，</w:t>
      </w:r>
      <w:r>
        <w:rPr>
          <w:rFonts w:hint="eastAsia" w:ascii="仿宋_GB2312" w:hAnsi="黑体" w:eastAsia="仿宋_GB2312"/>
          <w:sz w:val="32"/>
          <w:szCs w:val="32"/>
          <w:highlight w:val="none"/>
          <w:lang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eastAsia="zh-CN"/>
        </w:rPr>
        <w:t>。</w:t>
      </w:r>
    </w:p>
    <w:p>
      <w:pPr>
        <w:ind w:firstLine="640"/>
        <w:jc w:val="left"/>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u w:val="none"/>
          <w:lang w:val="en-US" w:eastAsia="zh-CN"/>
        </w:rPr>
        <w:t>11.住房保障支出</w:t>
      </w:r>
      <w:r>
        <w:rPr>
          <w:rFonts w:hint="eastAsia" w:ascii="仿宋_GB2312" w:hAnsi="黑体" w:eastAsia="仿宋_GB2312" w:cs="仿宋_GB2312"/>
          <w:sz w:val="32"/>
          <w:szCs w:val="32"/>
          <w:highlight w:val="none"/>
        </w:rPr>
        <w:t>（类）住房改革支出（款）住房公积金（项）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年预算数为55.48万元，比上年预算数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6.15</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因为在职在编人员增加，且住房公积金缴费基数提高使得</w:t>
      </w:r>
      <w:r>
        <w:rPr>
          <w:rFonts w:hint="eastAsia" w:ascii="仿宋_GB2312" w:hAnsi="黑体" w:eastAsia="仿宋_GB2312"/>
          <w:sz w:val="32"/>
          <w:szCs w:val="32"/>
          <w:highlight w:val="none"/>
        </w:rPr>
        <w:t>支出</w:t>
      </w:r>
      <w:r>
        <w:rPr>
          <w:rFonts w:hint="eastAsia" w:ascii="仿宋_GB2312" w:hAnsi="黑体" w:eastAsia="仿宋_GB2312"/>
          <w:sz w:val="32"/>
          <w:szCs w:val="32"/>
          <w:highlight w:val="none"/>
          <w:lang w:eastAsia="zh-CN"/>
        </w:rPr>
        <w:t>预算数增加。</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u w:val="none"/>
          <w:lang w:val="en-US" w:eastAsia="zh-CN"/>
        </w:rPr>
        <w:t>12.住房保障支出</w:t>
      </w:r>
      <w:r>
        <w:rPr>
          <w:rFonts w:hint="eastAsia" w:ascii="仿宋_GB2312" w:hAnsi="黑体" w:eastAsia="仿宋_GB2312" w:cs="仿宋_GB2312"/>
          <w:sz w:val="32"/>
          <w:szCs w:val="32"/>
          <w:highlight w:val="none"/>
        </w:rPr>
        <w:t>（类）住房改革支出（款）购房补贴（项）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年预算数为0.17万元，</w:t>
      </w:r>
      <w:r>
        <w:rPr>
          <w:rFonts w:hint="eastAsia" w:ascii="仿宋_GB2312" w:hAnsi="黑体" w:eastAsia="仿宋_GB2312"/>
          <w:sz w:val="32"/>
          <w:szCs w:val="32"/>
          <w:highlight w:val="none"/>
          <w:lang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eastAsia="zh-CN"/>
        </w:rPr>
        <w:t>。</w:t>
      </w:r>
    </w:p>
    <w:p>
      <w:pPr>
        <w:ind w:firstLine="640"/>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海南省文联部门</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年一般公共预算基本支出为</w:t>
      </w:r>
      <w:r>
        <w:rPr>
          <w:rFonts w:hint="eastAsia" w:ascii="仿宋_GB2312" w:hAnsi="黑体" w:eastAsia="仿宋_GB2312" w:cs="仿宋_GB2312"/>
          <w:sz w:val="32"/>
          <w:szCs w:val="32"/>
          <w:highlight w:val="none"/>
        </w:rPr>
        <w:t>934.</w:t>
      </w:r>
      <w:r>
        <w:rPr>
          <w:rFonts w:hint="eastAsia" w:ascii="仿宋_GB2312" w:hAnsi="黑体" w:eastAsia="仿宋_GB2312" w:cs="仿宋_GB2312"/>
          <w:sz w:val="32"/>
          <w:szCs w:val="32"/>
          <w:highlight w:val="none"/>
          <w:lang w:val="en-US" w:eastAsia="zh-CN"/>
        </w:rPr>
        <w:t>70</w:t>
      </w:r>
      <w:r>
        <w:rPr>
          <w:rFonts w:hint="eastAsia" w:ascii="仿宋_GB2312" w:hAnsi="黑体" w:eastAsia="仿宋_GB2312"/>
          <w:sz w:val="32"/>
          <w:szCs w:val="32"/>
          <w:highlight w:val="none"/>
        </w:rPr>
        <w:t>万元，其中：</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hint="eastAsia" w:ascii="仿宋_GB2312" w:hAnsi="黑体" w:eastAsia="仿宋_GB2312" w:cs="仿宋_GB2312"/>
          <w:sz w:val="32"/>
          <w:szCs w:val="32"/>
          <w:highlight w:val="none"/>
        </w:rPr>
        <w:t>807.9</w:t>
      </w:r>
      <w:r>
        <w:rPr>
          <w:rFonts w:hint="eastAsia" w:ascii="仿宋_GB2312" w:hAnsi="黑体" w:eastAsia="仿宋_GB2312" w:cs="仿宋_GB2312"/>
          <w:sz w:val="32"/>
          <w:szCs w:val="32"/>
          <w:highlight w:val="none"/>
          <w:lang w:val="en-US" w:eastAsia="zh-CN"/>
        </w:rPr>
        <w:t>8</w:t>
      </w:r>
      <w:r>
        <w:rPr>
          <w:rFonts w:hint="eastAsia" w:ascii="仿宋_GB2312" w:hAnsi="黑体" w:eastAsia="仿宋_GB2312"/>
          <w:sz w:val="32"/>
          <w:szCs w:val="32"/>
          <w:highlight w:val="none"/>
        </w:rPr>
        <w:t>万元，主要包括：基本工资、津贴补贴、奖金、</w:t>
      </w:r>
      <w:r>
        <w:rPr>
          <w:rFonts w:hint="eastAsia" w:ascii="仿宋_GB2312" w:hAnsi="黑体" w:eastAsia="仿宋_GB2312"/>
          <w:sz w:val="32"/>
          <w:szCs w:val="32"/>
          <w:highlight w:val="none"/>
          <w:lang w:eastAsia="zh-CN"/>
        </w:rPr>
        <w:t>绩效工资、机关事业单位基本养老保险缴费、职业年金缴费、职工基本医疗保险缴费、其他社会保障缴费、住房公积金、医疗费、其他工资福利支出、邮电费、其他交通费用、对个人和家庭的补助、生活补助、奖励金等。</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cs="仿宋_GB2312"/>
          <w:sz w:val="32"/>
          <w:szCs w:val="32"/>
          <w:highlight w:val="none"/>
        </w:rPr>
        <w:t>126.71</w:t>
      </w:r>
      <w:r>
        <w:rPr>
          <w:rFonts w:hint="eastAsia" w:ascii="仿宋_GB2312" w:hAnsi="黑体" w:eastAsia="仿宋_GB2312"/>
          <w:sz w:val="32"/>
          <w:szCs w:val="32"/>
          <w:highlight w:val="none"/>
        </w:rPr>
        <w:t>万元，主要包括：</w:t>
      </w:r>
      <w:r>
        <w:rPr>
          <w:rFonts w:hint="eastAsia" w:ascii="仿宋_GB2312" w:hAnsi="黑体" w:eastAsia="仿宋_GB2312"/>
          <w:sz w:val="32"/>
          <w:szCs w:val="32"/>
          <w:highlight w:val="none"/>
          <w:lang w:eastAsia="zh-CN"/>
        </w:rPr>
        <w:t>其他社会保障缴费、</w:t>
      </w:r>
      <w:r>
        <w:rPr>
          <w:rFonts w:hint="eastAsia" w:ascii="仿宋_GB2312" w:hAnsi="黑体" w:eastAsia="仿宋_GB2312"/>
          <w:sz w:val="32"/>
          <w:szCs w:val="32"/>
          <w:highlight w:val="none"/>
        </w:rPr>
        <w:t>其他工资福利支出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办公费、印刷费</w:t>
      </w:r>
      <w:r>
        <w:rPr>
          <w:rFonts w:hint="eastAsia" w:ascii="仿宋_GB2312" w:hAnsi="黑体" w:eastAsia="仿宋_GB2312"/>
          <w:sz w:val="32"/>
          <w:szCs w:val="32"/>
          <w:highlight w:val="none"/>
          <w:lang w:eastAsia="zh-CN"/>
        </w:rPr>
        <w:t>、咨询费、</w:t>
      </w:r>
      <w:r>
        <w:rPr>
          <w:rFonts w:hint="eastAsia" w:ascii="仿宋_GB2312" w:hAnsi="黑体" w:eastAsia="仿宋_GB2312"/>
          <w:sz w:val="32"/>
          <w:szCs w:val="32"/>
          <w:highlight w:val="none"/>
        </w:rPr>
        <w:t>手续费、水费、电费、邮电费</w:t>
      </w:r>
      <w:r>
        <w:rPr>
          <w:rFonts w:hint="eastAsia" w:ascii="仿宋_GB2312" w:hAnsi="黑体" w:eastAsia="仿宋_GB2312"/>
          <w:sz w:val="32"/>
          <w:szCs w:val="32"/>
          <w:highlight w:val="none"/>
          <w:lang w:eastAsia="zh-CN"/>
        </w:rPr>
        <w:t>、物业管理费、差旅费、因公出国(境)费用、维修(护)费、租赁费、会议费、培训费、公务接待费、劳务费、委托业务费、工会经费、公务用车运行维护费、其他商品和服务支出、生活补助、救济费、其他对个人和家庭的补助、办公设备购置等</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ascii="黑体" w:hAnsi="黑体" w:eastAsia="黑体" w:cs="Times New Roman"/>
          <w:sz w:val="32"/>
          <w:highlight w:val="none"/>
          <w:shd w:val="clear" w:color="auto" w:fill="FFFFFF"/>
        </w:rPr>
        <w:t>年“三公”经费预算情况</w:t>
      </w:r>
      <w:r>
        <w:rPr>
          <w:rFonts w:hint="eastAsia" w:ascii="黑体" w:hAnsi="黑体" w:eastAsia="黑体" w:cs="Times New Roman"/>
          <w:sz w:val="32"/>
          <w:highlight w:val="none"/>
          <w:shd w:val="clear" w:color="auto" w:fill="FFFFFF"/>
        </w:rPr>
        <w:t>说明</w:t>
      </w:r>
    </w:p>
    <w:p>
      <w:pPr>
        <w:ind w:firstLine="640" w:firstLineChars="200"/>
        <w:rPr>
          <w:rFonts w:hint="eastAsia" w:ascii="Times New Roman" w:hAnsi="Times New Roman" w:eastAsia="仿宋_GB2312" w:cs="Times New Roman"/>
          <w:sz w:val="32"/>
          <w:highlight w:val="none"/>
          <w:shd w:val="clear" w:color="auto" w:fill="FFFFFF"/>
        </w:rPr>
      </w:pPr>
      <w:r>
        <w:rPr>
          <w:rFonts w:hint="eastAsia" w:ascii="仿宋_GB2312" w:hAnsi="黑体" w:eastAsia="仿宋_GB2312"/>
          <w:sz w:val="32"/>
          <w:szCs w:val="32"/>
          <w:highlight w:val="none"/>
        </w:rPr>
        <w:t>（一）</w:t>
      </w:r>
      <w:r>
        <w:rPr>
          <w:rFonts w:hint="eastAsia" w:ascii="仿宋_GB2312" w:hAnsi="黑体" w:eastAsia="仿宋_GB2312"/>
          <w:sz w:val="32"/>
          <w:szCs w:val="32"/>
          <w:highlight w:val="none"/>
          <w:lang w:eastAsia="zh-CN"/>
        </w:rPr>
        <w:t>海南省文联部门</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年一般公共预算“三公”经费预算数为</w:t>
      </w:r>
      <w:r>
        <w:rPr>
          <w:rFonts w:hint="eastAsia" w:ascii="仿宋_GB2312" w:hAnsi="黑体" w:eastAsia="仿宋_GB2312" w:cs="仿宋_GB2312"/>
          <w:sz w:val="32"/>
          <w:szCs w:val="32"/>
          <w:highlight w:val="none"/>
        </w:rPr>
        <w:t>11.</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4</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因公出国（境）经费</w:t>
      </w:r>
      <w:r>
        <w:rPr>
          <w:rFonts w:hint="eastAsia" w:ascii="Times New Roman" w:hAnsi="Times New Roman" w:eastAsia="仿宋_GB2312" w:cs="Times New Roman"/>
          <w:sz w:val="32"/>
          <w:highlight w:val="none"/>
          <w:shd w:val="clear" w:color="auto" w:fill="FFFFFF"/>
        </w:rPr>
        <w:t>0.09万元</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Times New Roman" w:hAnsi="Times New Roman" w:eastAsia="仿宋_GB2312" w:cs="Times New Roman"/>
          <w:sz w:val="32"/>
          <w:highlight w:val="none"/>
          <w:shd w:val="clear" w:color="auto" w:fill="FFFFFF"/>
          <w:lang w:val="en-US" w:eastAsia="zh-CN"/>
        </w:rPr>
        <w:t>97.68</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，主要因为</w:t>
      </w:r>
      <w:r>
        <w:rPr>
          <w:rFonts w:hint="eastAsia" w:ascii="Times New Roman" w:hAnsi="Times New Roman" w:eastAsia="仿宋_GB2312" w:cs="Times New Roman"/>
          <w:sz w:val="32"/>
          <w:highlight w:val="none"/>
          <w:shd w:val="clear" w:color="auto" w:fill="FFFFFF"/>
          <w:lang w:val="en-US" w:eastAsia="zh-CN"/>
        </w:rPr>
        <w:t>2022年暂无因公出国（境）工作安排</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Times New Roman" w:hAnsi="Times New Roman" w:eastAsia="仿宋_GB2312" w:cs="Times New Roman"/>
          <w:sz w:val="32"/>
          <w:highlight w:val="none"/>
          <w:shd w:val="clear" w:color="auto" w:fill="FFFFFF"/>
        </w:rPr>
        <w:t>10.5万元（其中，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万元，公务用车</w:t>
      </w:r>
      <w:r>
        <w:rPr>
          <w:rFonts w:ascii="Times New Roman" w:hAnsi="Times New Roman" w:eastAsia="仿宋_GB2312" w:cs="Times New Roman"/>
          <w:sz w:val="32"/>
          <w:highlight w:val="none"/>
          <w:shd w:val="clear" w:color="auto" w:fill="FFFFFF"/>
        </w:rPr>
        <w:t>运行费</w:t>
      </w:r>
      <w:r>
        <w:rPr>
          <w:rFonts w:hint="eastAsia" w:ascii="Times New Roman" w:hAnsi="Times New Roman" w:eastAsia="仿宋_GB2312" w:cs="Times New Roman"/>
          <w:sz w:val="32"/>
          <w:highlight w:val="none"/>
          <w:shd w:val="clear" w:color="auto" w:fill="FFFFFF"/>
        </w:rPr>
        <w:t>10.5万元）</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Times New Roman" w:hAnsi="Times New Roman" w:eastAsia="仿宋_GB2312" w:cs="Times New Roman"/>
          <w:sz w:val="32"/>
          <w:highlight w:val="none"/>
          <w:shd w:val="clear" w:color="auto" w:fill="FFFFFF"/>
          <w:lang w:val="en-US" w:eastAsia="zh-CN"/>
        </w:rPr>
        <w:t>54.64</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w:t>
      </w:r>
      <w:r>
        <w:rPr>
          <w:rFonts w:ascii="Times New Roman" w:hAnsi="Times New Roman" w:eastAsia="仿宋_GB2312" w:cs="Times New Roman"/>
          <w:sz w:val="32"/>
          <w:highlight w:val="none"/>
          <w:shd w:val="clear" w:color="auto" w:fill="FFFFFF"/>
        </w:rPr>
        <w:t>增长的主要原因</w:t>
      </w:r>
      <w:r>
        <w:rPr>
          <w:rFonts w:hint="eastAsia" w:ascii="Times New Roman" w:hAnsi="Times New Roman" w:eastAsia="仿宋_GB2312" w:cs="Times New Roman"/>
          <w:sz w:val="32"/>
          <w:highlight w:val="none"/>
          <w:shd w:val="clear" w:color="auto" w:fill="FFFFFF"/>
          <w:lang w:eastAsia="zh-CN"/>
        </w:rPr>
        <w:t>是</w:t>
      </w:r>
      <w:r>
        <w:rPr>
          <w:rFonts w:hint="eastAsia" w:ascii="Times New Roman" w:hAnsi="Times New Roman" w:eastAsia="仿宋_GB2312" w:cs="Times New Roman"/>
          <w:sz w:val="32"/>
          <w:highlight w:val="none"/>
          <w:shd w:val="clear" w:color="auto" w:fill="FFFFFF"/>
          <w:lang w:val="en-US" w:eastAsia="zh-CN"/>
        </w:rPr>
        <w:t>2021年我会因有因公出国（境）工作计划，基于“三公经费”总量较2020年总体只减不增的预算编制要求，我会核减了“</w:t>
      </w:r>
      <w:r>
        <w:rPr>
          <w:rFonts w:ascii="Times New Roman" w:hAnsi="Times New Roman" w:eastAsia="仿宋_GB2312" w:cs="Times New Roman"/>
          <w:sz w:val="32"/>
          <w:highlight w:val="none"/>
          <w:shd w:val="clear" w:color="auto" w:fill="FFFFFF"/>
        </w:rPr>
        <w:t>公务用车购置及运行费</w:t>
      </w:r>
      <w:r>
        <w:rPr>
          <w:rFonts w:hint="eastAsia" w:ascii="Times New Roman" w:hAnsi="Times New Roman" w:eastAsia="仿宋_GB2312" w:cs="Times New Roman"/>
          <w:sz w:val="32"/>
          <w:highlight w:val="none"/>
          <w:shd w:val="clear" w:color="auto" w:fill="FFFFFF"/>
          <w:lang w:eastAsia="zh-CN"/>
        </w:rPr>
        <w:t>”预算数，故</w:t>
      </w:r>
      <w:r>
        <w:rPr>
          <w:rFonts w:hint="eastAsia" w:ascii="Times New Roman" w:hAnsi="Times New Roman" w:eastAsia="仿宋_GB2312" w:cs="Times New Roman"/>
          <w:sz w:val="32"/>
          <w:highlight w:val="none"/>
          <w:shd w:val="clear" w:color="auto" w:fill="FFFFFF"/>
          <w:lang w:val="en-US" w:eastAsia="zh-CN"/>
        </w:rPr>
        <w:t>2021年此项支出预算数相对较少；</w:t>
      </w:r>
      <w:r>
        <w:rPr>
          <w:rFonts w:hint="eastAsia" w:ascii="Times New Roman" w:hAnsi="Times New Roman" w:eastAsia="仿宋_GB2312" w:cs="Times New Roman"/>
          <w:sz w:val="32"/>
          <w:highlight w:val="none"/>
          <w:shd w:val="clear" w:color="auto" w:fill="FFFFFF"/>
        </w:rPr>
        <w:t>公务车保有量</w:t>
      </w:r>
      <w:r>
        <w:rPr>
          <w:rFonts w:hint="eastAsia" w:ascii="Times New Roman" w:hAnsi="Times New Roman" w:eastAsia="仿宋_GB2312" w:cs="Times New Roman"/>
          <w:sz w:val="32"/>
          <w:highlight w:val="none"/>
          <w:shd w:val="clear" w:color="auto" w:fill="FFFFFF"/>
          <w:lang w:val="en-US" w:eastAsia="zh-CN"/>
        </w:rPr>
        <w:t>3</w:t>
      </w:r>
      <w:r>
        <w:rPr>
          <w:rFonts w:hint="eastAsia" w:ascii="Times New Roman" w:hAnsi="Times New Roman" w:eastAsia="仿宋_GB2312" w:cs="Times New Roman"/>
          <w:sz w:val="32"/>
          <w:highlight w:val="none"/>
          <w:shd w:val="clear" w:color="auto" w:fill="FFFFFF"/>
        </w:rPr>
        <w:t>辆，计划购置</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辆；</w:t>
      </w:r>
      <w:r>
        <w:rPr>
          <w:rFonts w:ascii="Times New Roman" w:hAnsi="Times New Roman" w:eastAsia="仿宋_GB2312" w:cs="Times New Roman"/>
          <w:sz w:val="32"/>
          <w:highlight w:val="none"/>
          <w:shd w:val="clear" w:color="auto" w:fill="FFFFFF"/>
        </w:rPr>
        <w:t>公务接待费</w:t>
      </w:r>
      <w:r>
        <w:rPr>
          <w:rFonts w:hint="eastAsia" w:ascii="Times New Roman" w:hAnsi="Times New Roman" w:eastAsia="仿宋_GB2312" w:cs="Times New Roman"/>
          <w:sz w:val="32"/>
          <w:highlight w:val="none"/>
          <w:shd w:val="clear" w:color="auto" w:fill="FFFFFF"/>
        </w:rPr>
        <w:t>0.85</w:t>
      </w:r>
      <w:r>
        <w:rPr>
          <w:rFonts w:ascii="Times New Roman" w:hAnsi="Times New Roman" w:eastAsia="仿宋_GB2312" w:cs="Times New Roman"/>
          <w:sz w:val="32"/>
          <w:highlight w:val="none"/>
          <w:shd w:val="clear" w:color="auto" w:fill="FFFFFF"/>
        </w:rPr>
        <w:t>万元，较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Times New Roman" w:hAnsi="Times New Roman" w:eastAsia="仿宋_GB2312" w:cs="Times New Roman"/>
          <w:sz w:val="32"/>
          <w:highlight w:val="none"/>
          <w:shd w:val="clear" w:color="auto" w:fill="FFFFFF"/>
          <w:lang w:val="en-US" w:eastAsia="zh-CN"/>
        </w:rPr>
        <w:t>2.3</w:t>
      </w:r>
      <w:r>
        <w:rPr>
          <w:rFonts w:ascii="Times New Roman" w:hAnsi="Times New Roman" w:eastAsia="仿宋_GB2312" w:cs="Times New Roman"/>
          <w:sz w:val="32"/>
          <w:highlight w:val="none"/>
          <w:shd w:val="clear" w:color="auto" w:fill="FFFFFF"/>
        </w:rPr>
        <w:t>%。下降的主要原因包括：</w:t>
      </w:r>
      <w:r>
        <w:rPr>
          <w:rFonts w:hint="eastAsia" w:ascii="Times New Roman" w:hAnsi="Times New Roman" w:eastAsia="仿宋_GB2312" w:cs="Times New Roman"/>
          <w:sz w:val="32"/>
          <w:highlight w:val="none"/>
          <w:shd w:val="clear" w:color="auto" w:fill="FFFFFF"/>
          <w:lang w:eastAsia="zh-CN"/>
        </w:rPr>
        <w:t>受疫情影响，接待人员减少</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val="en-US" w:eastAsia="zh-CN"/>
        </w:rPr>
        <w:t>2022年度</w:t>
      </w:r>
      <w:r>
        <w:rPr>
          <w:rFonts w:hint="eastAsia" w:ascii="Times New Roman" w:hAnsi="Times New Roman" w:eastAsia="仿宋_GB2312" w:cs="Times New Roman"/>
          <w:sz w:val="32"/>
          <w:highlight w:val="none"/>
          <w:shd w:val="clear" w:color="auto" w:fill="FFFFFF"/>
        </w:rPr>
        <w:t>计划接待</w:t>
      </w:r>
      <w:r>
        <w:rPr>
          <w:rFonts w:hint="eastAsia" w:ascii="Times New Roman" w:hAnsi="Times New Roman" w:eastAsia="仿宋_GB2312" w:cs="Times New Roman"/>
          <w:sz w:val="32"/>
          <w:highlight w:val="none"/>
          <w:shd w:val="clear" w:color="auto" w:fill="FFFFFF"/>
          <w:lang w:val="en-US" w:eastAsia="zh-CN"/>
        </w:rPr>
        <w:t>8</w:t>
      </w:r>
      <w:r>
        <w:rPr>
          <w:rFonts w:hint="eastAsia" w:ascii="Times New Roman" w:hAnsi="Times New Roman" w:eastAsia="仿宋_GB2312" w:cs="Times New Roman"/>
          <w:sz w:val="32"/>
          <w:highlight w:val="none"/>
          <w:shd w:val="clear" w:color="auto" w:fill="FFFFFF"/>
        </w:rPr>
        <w:t>批</w:t>
      </w:r>
      <w:r>
        <w:rPr>
          <w:rFonts w:hint="eastAsia" w:ascii="Times New Roman" w:hAnsi="Times New Roman" w:eastAsia="仿宋_GB2312" w:cs="Times New Roman"/>
          <w:sz w:val="32"/>
          <w:highlight w:val="none"/>
          <w:shd w:val="clear" w:color="auto" w:fill="FFFFFF"/>
          <w:lang w:eastAsia="zh-CN"/>
        </w:rPr>
        <w:t>共计约</w:t>
      </w:r>
      <w:r>
        <w:rPr>
          <w:rFonts w:hint="eastAsia" w:ascii="Times New Roman" w:hAnsi="Times New Roman" w:eastAsia="仿宋_GB2312" w:cs="Times New Roman"/>
          <w:sz w:val="32"/>
          <w:highlight w:val="none"/>
          <w:shd w:val="clear" w:color="auto" w:fill="FFFFFF"/>
          <w:lang w:val="en-US" w:eastAsia="zh-CN"/>
        </w:rPr>
        <w:t>60人</w:t>
      </w:r>
      <w:r>
        <w:rPr>
          <w:rFonts w:hint="eastAsia" w:ascii="Times New Roman" w:hAnsi="Times New Roman" w:eastAsia="仿宋_GB2312" w:cs="Times New Roman"/>
          <w:sz w:val="32"/>
          <w:highlight w:val="none"/>
          <w:shd w:val="clear" w:color="auto" w:fill="FFFFFF"/>
        </w:rPr>
        <w:t>。</w:t>
      </w:r>
    </w:p>
    <w:p>
      <w:pPr>
        <w:ind w:firstLine="630"/>
        <w:rPr>
          <w:rFonts w:hint="eastAsia" w:ascii="Times New Roman" w:hAnsi="Times New Roman" w:eastAsia="仿宋_GB2312" w:cs="Times New Roman"/>
          <w:sz w:val="32"/>
          <w:highlight w:val="none"/>
          <w:shd w:val="clear" w:color="auto" w:fill="FFFFFF"/>
        </w:rPr>
      </w:pPr>
      <w:r>
        <w:rPr>
          <w:rFonts w:hint="eastAsia" w:ascii="Times New Roman" w:hAnsi="Times New Roman" w:eastAsia="仿宋_GB2312" w:cs="Times New Roman"/>
          <w:sz w:val="32"/>
          <w:highlight w:val="none"/>
          <w:shd w:val="clear" w:color="auto" w:fill="FFFFFF"/>
        </w:rPr>
        <w:t>（二）</w:t>
      </w:r>
      <w:r>
        <w:rPr>
          <w:rFonts w:hint="eastAsia" w:ascii="Times New Roman" w:hAnsi="Times New Roman" w:eastAsia="仿宋_GB2312" w:cs="Times New Roman"/>
          <w:sz w:val="32"/>
          <w:highlight w:val="none"/>
          <w:shd w:val="clear" w:color="auto" w:fill="FFFFFF"/>
          <w:lang w:eastAsia="zh-CN"/>
        </w:rPr>
        <w:t>海南省文联部门</w:t>
      </w:r>
      <w:r>
        <w:rPr>
          <w:rFonts w:hint="eastAsia" w:ascii="Times New Roman" w:hAnsi="Times New Roman" w:eastAsia="仿宋_GB2312" w:cs="Times New Roman"/>
          <w:sz w:val="32"/>
          <w:highlight w:val="none"/>
          <w:shd w:val="clear" w:color="auto" w:fill="FFFFFF"/>
          <w:lang w:val="en-US" w:eastAsia="zh-CN"/>
        </w:rPr>
        <w:t>2022</w:t>
      </w:r>
      <w:r>
        <w:rPr>
          <w:rFonts w:hint="eastAsia" w:ascii="Times New Roman" w:hAnsi="Times New Roman" w:eastAsia="仿宋_GB2312" w:cs="Times New Roman"/>
          <w:sz w:val="32"/>
          <w:highlight w:val="none"/>
          <w:shd w:val="clear" w:color="auto" w:fill="FFFFFF"/>
        </w:rPr>
        <w:t>年政府性基金预算“三公”经费预算数为</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万元，其中：</w:t>
      </w:r>
    </w:p>
    <w:p>
      <w:pPr>
        <w:ind w:firstLine="630"/>
        <w:rPr>
          <w:rFonts w:hint="eastAsia" w:ascii="Times New Roman" w:hAnsi="Times New Roman" w:eastAsia="仿宋_GB2312" w:cs="Times New Roman"/>
          <w:sz w:val="32"/>
          <w:highlight w:val="none"/>
          <w:shd w:val="clear" w:color="auto" w:fill="FFFFFF"/>
        </w:rPr>
      </w:pPr>
      <w:r>
        <w:rPr>
          <w:rFonts w:hint="eastAsia" w:ascii="Times New Roman" w:hAnsi="Times New Roman" w:eastAsia="仿宋_GB2312" w:cs="Times New Roman"/>
          <w:sz w:val="32"/>
          <w:highlight w:val="none"/>
          <w:shd w:val="clear" w:color="auto" w:fill="FFFFFF"/>
        </w:rPr>
        <w:t xml:space="preserve"> 因公出国（境）经费</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万元，与上年预算持平；公务用车购置及运行费</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万元（其中，公务用车购置费</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万元，公务用车运行费</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万元），与上年预算持平；公务车保有量</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辆，计划购置</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辆。公务接待费</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万元，与上年预算持平</w:t>
      </w:r>
      <w:r>
        <w:rPr>
          <w:rFonts w:hint="eastAsia" w:ascii="Times New Roman" w:hAnsi="Times New Roman" w:eastAsia="仿宋_GB2312" w:cs="Times New Roman"/>
          <w:sz w:val="32"/>
          <w:highlight w:val="none"/>
          <w:shd w:val="clear" w:color="auto" w:fill="FFFFFF"/>
          <w:lang w:eastAsia="zh-CN"/>
        </w:rPr>
        <w:t>，</w:t>
      </w:r>
      <w:r>
        <w:rPr>
          <w:rFonts w:hint="eastAsia" w:ascii="Times New Roman" w:hAnsi="Times New Roman" w:eastAsia="仿宋_GB2312" w:cs="Times New Roman"/>
          <w:sz w:val="32"/>
          <w:highlight w:val="none"/>
          <w:shd w:val="clear" w:color="auto" w:fill="FFFFFF"/>
        </w:rPr>
        <w:t>计划接待</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批</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人。</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海南文联部门</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年政府性基金预算当年拨款</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u w:val="none"/>
          <w:lang w:eastAsia="zh-CN"/>
        </w:rPr>
        <w:t>与上年持平。</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ind w:firstLine="960" w:firstLineChars="300"/>
        <w:jc w:val="left"/>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eastAsia="zh-CN"/>
        </w:rPr>
        <w:t>无。</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ind w:firstLine="960" w:firstLineChars="300"/>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无。</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六、关于</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收支预算情况的总体说明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按照综合预算原则，</w:t>
      </w:r>
      <w:r>
        <w:rPr>
          <w:rFonts w:hint="eastAsia" w:ascii="仿宋_GB2312" w:hAnsi="黑体" w:eastAsia="仿宋_GB2312" w:cs="仿宋_GB2312"/>
          <w:sz w:val="32"/>
          <w:szCs w:val="32"/>
          <w:highlight w:val="none"/>
          <w:lang w:eastAsia="zh-CN"/>
        </w:rPr>
        <w:t>海南省文联部门</w:t>
      </w:r>
      <w:r>
        <w:rPr>
          <w:rFonts w:hint="eastAsia" w:ascii="仿宋_GB2312" w:hAnsi="黑体" w:eastAsia="仿宋_GB2312" w:cs="仿宋_GB2312"/>
          <w:sz w:val="32"/>
          <w:szCs w:val="32"/>
          <w:highlight w:val="none"/>
        </w:rPr>
        <w:t>所有收入和支出均纳入部门预算管理。收入包括：一般公共预算</w:t>
      </w:r>
      <w:r>
        <w:rPr>
          <w:rFonts w:hint="eastAsia" w:ascii="仿宋_GB2312" w:hAnsi="黑体" w:eastAsia="仿宋_GB2312" w:cs="仿宋_GB2312"/>
          <w:sz w:val="32"/>
          <w:szCs w:val="32"/>
          <w:highlight w:val="none"/>
          <w:lang w:eastAsia="zh-CN"/>
        </w:rPr>
        <w:t>拨款</w:t>
      </w:r>
      <w:r>
        <w:rPr>
          <w:rFonts w:hint="eastAsia" w:ascii="仿宋_GB2312" w:hAnsi="黑体" w:eastAsia="仿宋_GB2312" w:cs="仿宋_GB2312"/>
          <w:sz w:val="32"/>
          <w:szCs w:val="32"/>
          <w:highlight w:val="none"/>
        </w:rPr>
        <w:t>收入、事业收入</w:t>
      </w:r>
      <w:r>
        <w:rPr>
          <w:rFonts w:hint="eastAsia" w:ascii="仿宋_GB2312" w:hAnsi="黑体" w:eastAsia="仿宋_GB2312"/>
          <w:sz w:val="32"/>
          <w:szCs w:val="32"/>
          <w:highlight w:val="none"/>
        </w:rPr>
        <w:t>；支出包括：一般公共服务支出、</w:t>
      </w:r>
      <w:r>
        <w:rPr>
          <w:rFonts w:hint="eastAsia" w:ascii="仿宋_GB2312" w:hAnsi="黑体" w:eastAsia="仿宋_GB2312"/>
          <w:sz w:val="32"/>
          <w:szCs w:val="32"/>
          <w:highlight w:val="none"/>
          <w:lang w:eastAsia="zh-CN"/>
        </w:rPr>
        <w:t>教育支出、</w:t>
      </w:r>
      <w:r>
        <w:rPr>
          <w:rFonts w:hint="eastAsia" w:ascii="仿宋_GB2312" w:hAnsi="黑体" w:eastAsia="仿宋_GB2312"/>
          <w:sz w:val="32"/>
          <w:szCs w:val="32"/>
          <w:highlight w:val="none"/>
        </w:rPr>
        <w:t>文化旅游体育与传媒支出</w:t>
      </w:r>
      <w:r>
        <w:rPr>
          <w:rFonts w:hint="eastAsia" w:ascii="仿宋_GB2312" w:hAnsi="黑体" w:eastAsia="仿宋_GB2312"/>
          <w:sz w:val="32"/>
          <w:szCs w:val="32"/>
          <w:highlight w:val="none"/>
          <w:lang w:eastAsia="zh-CN"/>
        </w:rPr>
        <w:t>、社会保障和就业支出、 卫生健康支出、 住房保障支出</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海南省文联部门</w:t>
      </w:r>
      <w:r>
        <w:rPr>
          <w:rFonts w:hint="eastAsia" w:ascii="仿宋_GB2312" w:hAnsi="黑体" w:eastAsia="仿宋_GB2312"/>
          <w:sz w:val="32"/>
          <w:szCs w:val="32"/>
          <w:highlight w:val="none"/>
        </w:rPr>
        <w:t>年收支总预算</w:t>
      </w:r>
      <w:r>
        <w:rPr>
          <w:rFonts w:hint="eastAsia" w:ascii="仿宋_GB2312" w:hAnsi="黑体" w:eastAsia="仿宋_GB2312" w:cs="仿宋_GB2312"/>
          <w:sz w:val="32"/>
          <w:szCs w:val="32"/>
          <w:highlight w:val="none"/>
        </w:rPr>
        <w:t>3012.86</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七、关于</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收入预算情况说明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海南省文联部门</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年收入预算</w:t>
      </w:r>
      <w:r>
        <w:rPr>
          <w:rFonts w:hint="eastAsia" w:ascii="仿宋_GB2312" w:hAnsi="黑体" w:eastAsia="仿宋_GB2312" w:cs="仿宋_GB2312"/>
          <w:sz w:val="32"/>
          <w:szCs w:val="32"/>
          <w:highlight w:val="none"/>
        </w:rPr>
        <w:t>3012.86</w:t>
      </w:r>
      <w:r>
        <w:rPr>
          <w:rFonts w:hint="eastAsia" w:ascii="仿宋_GB2312" w:hAnsi="黑体" w:eastAsia="仿宋_GB2312"/>
          <w:sz w:val="32"/>
          <w:szCs w:val="32"/>
          <w:highlight w:val="none"/>
        </w:rPr>
        <w:t>万元，其中：经费拨款收入2359.86万元，占</w:t>
      </w:r>
      <w:r>
        <w:rPr>
          <w:rFonts w:hint="eastAsia" w:ascii="仿宋_GB2312" w:hAnsi="黑体" w:eastAsia="仿宋_GB2312" w:cs="仿宋_GB2312"/>
          <w:sz w:val="32"/>
          <w:szCs w:val="32"/>
          <w:highlight w:val="none"/>
          <w:lang w:val="en-US" w:eastAsia="zh-CN"/>
        </w:rPr>
        <w:t>78.33</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事业</w:t>
      </w:r>
      <w:r>
        <w:rPr>
          <w:rFonts w:hint="eastAsia" w:ascii="仿宋_GB2312" w:hAnsi="黑体" w:eastAsia="仿宋_GB2312"/>
          <w:sz w:val="32"/>
          <w:szCs w:val="32"/>
          <w:highlight w:val="none"/>
        </w:rPr>
        <w:t>收入653万元，占</w:t>
      </w:r>
      <w:r>
        <w:rPr>
          <w:rFonts w:hint="eastAsia" w:ascii="仿宋_GB2312" w:hAnsi="黑体" w:eastAsia="仿宋_GB2312" w:cs="仿宋_GB2312"/>
          <w:sz w:val="32"/>
          <w:szCs w:val="32"/>
          <w:highlight w:val="none"/>
          <w:lang w:val="en-US" w:eastAsia="zh-CN"/>
        </w:rPr>
        <w:t>21.67</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rPr>
        <w:t>增加</w:t>
      </w:r>
      <w:r>
        <w:rPr>
          <w:rFonts w:hint="eastAsia" w:ascii="仿宋_GB2312" w:hAnsi="黑体" w:eastAsia="仿宋_GB2312" w:cs="仿宋_GB2312"/>
          <w:sz w:val="32"/>
          <w:szCs w:val="32"/>
          <w:highlight w:val="none"/>
          <w:u w:val="none"/>
          <w:lang w:val="en-US" w:eastAsia="zh-CN"/>
        </w:rPr>
        <w:t>1810.46</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主要因为</w:t>
      </w:r>
      <w:r>
        <w:rPr>
          <w:rFonts w:hint="eastAsia" w:ascii="仿宋_GB2312" w:hAnsi="黑体" w:eastAsia="仿宋_GB2312"/>
          <w:sz w:val="32"/>
          <w:szCs w:val="32"/>
          <w:highlight w:val="none"/>
          <w:u w:val="none"/>
          <w:lang w:val="en-US" w:eastAsia="zh-CN"/>
        </w:rPr>
        <w:t>2021年财政预算改革，往年需</w:t>
      </w:r>
      <w:r>
        <w:rPr>
          <w:rFonts w:hint="eastAsia" w:ascii="仿宋_GB2312" w:hAnsi="黑体" w:eastAsia="仿宋_GB2312"/>
          <w:sz w:val="32"/>
          <w:szCs w:val="32"/>
          <w:highlight w:val="none"/>
          <w:u w:val="none"/>
          <w:lang w:eastAsia="zh-CN"/>
        </w:rPr>
        <w:t>向省委宣传部申请宣传文化事业发展专项资金支持的项目经费都由部门直接向省财政厅申请，并纳入部门年度预算安排（</w:t>
      </w:r>
      <w:r>
        <w:rPr>
          <w:rFonts w:hint="eastAsia" w:ascii="仿宋_GB2312" w:hAnsi="黑体" w:eastAsia="仿宋_GB2312"/>
          <w:sz w:val="32"/>
          <w:szCs w:val="32"/>
          <w:highlight w:val="none"/>
          <w:u w:val="none"/>
          <w:lang w:val="en-US" w:eastAsia="zh-CN"/>
        </w:rPr>
        <w:t>2022年省委宣传部支持604万元</w:t>
      </w:r>
      <w:r>
        <w:rPr>
          <w:rFonts w:hint="eastAsia" w:ascii="仿宋_GB2312" w:hAnsi="黑体" w:eastAsia="仿宋_GB2312"/>
          <w:sz w:val="32"/>
          <w:szCs w:val="32"/>
          <w:highlight w:val="none"/>
          <w:u w:val="none"/>
          <w:lang w:eastAsia="zh-CN"/>
        </w:rPr>
        <w:t>）；</w:t>
      </w:r>
      <w:r>
        <w:rPr>
          <w:rFonts w:hint="eastAsia" w:ascii="仿宋_GB2312" w:hAnsi="黑体" w:eastAsia="仿宋_GB2312"/>
          <w:sz w:val="32"/>
          <w:szCs w:val="32"/>
          <w:highlight w:val="none"/>
          <w:u w:val="none"/>
          <w:lang w:val="en-US" w:eastAsia="zh-CN"/>
        </w:rPr>
        <w:t>其次因为2022年部门实际</w:t>
      </w:r>
      <w:r>
        <w:rPr>
          <w:rFonts w:hint="eastAsia" w:ascii="仿宋_GB2312" w:hAnsi="黑体" w:eastAsia="仿宋_GB2312"/>
          <w:sz w:val="32"/>
          <w:szCs w:val="32"/>
          <w:highlight w:val="none"/>
          <w:u w:val="none"/>
          <w:lang w:eastAsia="zh-CN"/>
        </w:rPr>
        <w:t>工作需要新增了“文艺工作者教育培训”、“省文联第七次代表大会（五年一届）”等十五个一次性项目</w:t>
      </w:r>
      <w:r>
        <w:rPr>
          <w:rFonts w:hint="eastAsia" w:ascii="仿宋_GB2312" w:hAnsi="黑体" w:eastAsia="仿宋_GB2312"/>
          <w:sz w:val="32"/>
          <w:szCs w:val="32"/>
          <w:highlight w:val="none"/>
          <w:u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w:t>
      </w:r>
      <w:r>
        <w:rPr>
          <w:rFonts w:hint="eastAsia" w:ascii="黑体" w:hAnsi="黑体" w:eastAsia="黑体"/>
          <w:sz w:val="32"/>
          <w:szCs w:val="32"/>
          <w:highlight w:val="none"/>
          <w:lang w:eastAsia="zh-CN"/>
        </w:rPr>
        <w:t>海南文联部门</w:t>
      </w:r>
      <w:r>
        <w:rPr>
          <w:rFonts w:hint="eastAsia" w:ascii="黑体" w:hAnsi="黑体" w:eastAsia="黑体"/>
          <w:sz w:val="32"/>
          <w:szCs w:val="32"/>
          <w:highlight w:val="none"/>
          <w:lang w:val="en-US" w:eastAsia="zh-CN"/>
        </w:rPr>
        <w:t>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支出预算情况说明</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eastAsia="zh-CN"/>
        </w:rPr>
        <w:t>海南省文联部门</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年支出预算</w:t>
      </w:r>
      <w:r>
        <w:rPr>
          <w:rFonts w:hint="eastAsia" w:ascii="仿宋_GB2312" w:hAnsi="黑体" w:eastAsia="仿宋_GB2312" w:cs="仿宋_GB2312"/>
          <w:sz w:val="32"/>
          <w:szCs w:val="32"/>
          <w:highlight w:val="none"/>
        </w:rPr>
        <w:t>2981.16</w:t>
      </w:r>
      <w:r>
        <w:rPr>
          <w:rFonts w:hint="eastAsia" w:ascii="仿宋_GB2312" w:hAnsi="黑体" w:eastAsia="仿宋_GB2312"/>
          <w:sz w:val="32"/>
          <w:szCs w:val="32"/>
          <w:highlight w:val="none"/>
        </w:rPr>
        <w:t>万元，其中：基本支出</w:t>
      </w:r>
      <w:r>
        <w:rPr>
          <w:rFonts w:hint="eastAsia" w:ascii="仿宋_GB2312" w:hAnsi="黑体" w:eastAsia="仿宋_GB2312" w:cs="仿宋_GB2312"/>
          <w:sz w:val="32"/>
          <w:szCs w:val="32"/>
          <w:highlight w:val="none"/>
          <w:lang w:val="en-US" w:eastAsia="zh-CN"/>
        </w:rPr>
        <w:t>934.70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31.35</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rPr>
        <w:t>2046.46</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68.65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rPr>
        <w:t>增加</w:t>
      </w:r>
      <w:r>
        <w:rPr>
          <w:rFonts w:hint="eastAsia" w:ascii="仿宋_GB2312" w:hAnsi="黑体" w:eastAsia="仿宋_GB2312" w:cs="仿宋_GB2312"/>
          <w:sz w:val="32"/>
          <w:szCs w:val="32"/>
          <w:highlight w:val="none"/>
          <w:u w:val="none"/>
          <w:lang w:val="en-US" w:eastAsia="zh-CN"/>
        </w:rPr>
        <w:t>1778.76</w:t>
      </w:r>
      <w:r>
        <w:rPr>
          <w:rFonts w:hint="eastAsia" w:ascii="仿宋_GB2312" w:hAnsi="黑体" w:eastAsia="仿宋_GB2312"/>
          <w:sz w:val="32"/>
          <w:szCs w:val="32"/>
          <w:highlight w:val="none"/>
          <w:u w:val="none"/>
        </w:rPr>
        <w:t>万元，</w:t>
      </w:r>
      <w:r>
        <w:rPr>
          <w:rFonts w:hint="eastAsia" w:ascii="仿宋_GB2312" w:hAnsi="黑体" w:eastAsia="仿宋_GB2312"/>
          <w:sz w:val="32"/>
          <w:szCs w:val="32"/>
          <w:u w:val="none"/>
        </w:rPr>
        <w:t>主要</w:t>
      </w:r>
      <w:r>
        <w:rPr>
          <w:rFonts w:hint="eastAsia" w:ascii="仿宋_GB2312" w:hAnsi="黑体" w:eastAsia="仿宋_GB2312"/>
          <w:sz w:val="32"/>
          <w:szCs w:val="32"/>
          <w:u w:val="none"/>
          <w:lang w:eastAsia="zh-CN"/>
        </w:rPr>
        <w:t>是因为往年需向省委宣传部申请的宣传文化事业发展专项资金支持的项目经费都由部门直接向省财政厅申请，并纳入部门年度预算安排；其次因为挂靠我会管理的</w:t>
      </w:r>
      <w:r>
        <w:rPr>
          <w:rFonts w:hint="eastAsia" w:ascii="仿宋_GB2312" w:hAnsi="黑体" w:eastAsia="仿宋_GB2312"/>
          <w:sz w:val="32"/>
          <w:szCs w:val="32"/>
          <w:u w:val="none"/>
          <w:lang w:val="en-US" w:eastAsia="zh-CN"/>
        </w:rPr>
        <w:t>11个省级文艺家协会自有资金纳入预算编制并在年度预算批复中体现。</w:t>
      </w:r>
      <w:r>
        <w:rPr>
          <w:rFonts w:hint="eastAsia" w:ascii="仿宋_GB2312" w:hAnsi="黑体" w:eastAsia="仿宋_GB2312"/>
          <w:sz w:val="32"/>
          <w:szCs w:val="32"/>
          <w:highlight w:val="none"/>
          <w:u w:val="none"/>
          <w:lang w:val="en-US" w:eastAsia="zh-CN"/>
        </w:rPr>
        <w:t xml:space="preserve">                                                              </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海南省文联本级、海南省书画院</w:t>
      </w:r>
      <w:r>
        <w:rPr>
          <w:rFonts w:hint="eastAsia" w:ascii="仿宋_GB2312" w:hAnsi="黑体" w:eastAsia="仿宋_GB2312" w:cs="仿宋_GB2312"/>
          <w:sz w:val="32"/>
          <w:szCs w:val="32"/>
          <w:highlight w:val="none"/>
        </w:rPr>
        <w:t>的机关运行经费预算</w:t>
      </w:r>
      <w:r>
        <w:rPr>
          <w:rFonts w:hint="eastAsia" w:ascii="仿宋_GB2312" w:hAnsi="黑体" w:eastAsia="仿宋_GB2312" w:cs="仿宋_GB2312"/>
          <w:sz w:val="32"/>
          <w:szCs w:val="32"/>
          <w:highlight w:val="none"/>
          <w:lang w:val="en-US" w:eastAsia="zh-CN"/>
        </w:rPr>
        <w:t>126.71</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left="319" w:leftChars="152" w:firstLine="652" w:firstLineChars="204"/>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2022年海南省文联部门</w:t>
      </w:r>
      <w:r>
        <w:rPr>
          <w:rFonts w:hint="eastAsia" w:ascii="仿宋_GB2312" w:hAnsi="黑体" w:eastAsia="仿宋_GB2312" w:cs="仿宋_GB2312"/>
          <w:sz w:val="32"/>
          <w:szCs w:val="32"/>
          <w:highlight w:val="none"/>
        </w:rPr>
        <w:t>政府采购预算总额</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hint="eastAsia" w:ascii="仿宋_GB2312" w:hAnsi="黑体" w:eastAsia="仿宋_GB2312"/>
          <w:sz w:val="32"/>
          <w:szCs w:val="32"/>
          <w:highlight w:val="none"/>
          <w:lang w:val="en-US" w:eastAsia="zh-CN"/>
        </w:rPr>
        <w:t xml:space="preserve"> </w:t>
      </w:r>
      <w:r>
        <w:rPr>
          <w:rFonts w:hint="eastAsia" w:ascii="仿宋_GB2312" w:hAnsi="黑体" w:eastAsia="仿宋_GB2312"/>
          <w:sz w:val="32"/>
          <w:szCs w:val="32"/>
          <w:highlight w:val="none"/>
        </w:rPr>
        <w:t>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截至</w:t>
      </w:r>
      <w:r>
        <w:rPr>
          <w:rFonts w:hint="eastAsia" w:ascii="仿宋_GB2312" w:hAnsi="黑体" w:eastAsia="仿宋_GB2312" w:cs="仿宋_GB2312"/>
          <w:sz w:val="32"/>
          <w:szCs w:val="32"/>
          <w:highlight w:val="none"/>
          <w:lang w:val="en-US" w:eastAsia="zh-CN"/>
        </w:rPr>
        <w:t>2021</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lang w:eastAsia="zh-CN"/>
        </w:rPr>
        <w:t>海南省文联部门</w:t>
      </w:r>
      <w:r>
        <w:rPr>
          <w:rFonts w:hint="eastAsia" w:ascii="仿宋_GB2312" w:hAnsi="黑体" w:eastAsia="仿宋_GB2312" w:cs="仿宋_GB2312"/>
          <w:sz w:val="32"/>
          <w:szCs w:val="32"/>
          <w:highlight w:val="none"/>
        </w:rPr>
        <w:t>共有车辆</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辆，其中，领导干部用车</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辆，机要通信应急用车</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辆、应急保障用车1辆。单位价值100万元以上设备</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2022年海南省文联部门23</w:t>
      </w:r>
      <w:r>
        <w:rPr>
          <w:rFonts w:hint="eastAsia" w:ascii="仿宋_GB2312" w:hAnsi="黑体" w:eastAsia="仿宋_GB2312" w:cs="仿宋_GB2312"/>
          <w:sz w:val="32"/>
          <w:szCs w:val="32"/>
          <w:highlight w:val="none"/>
        </w:rPr>
        <w:t>个项目实行绩效目标管理，涉及一般公共预算</w:t>
      </w:r>
      <w:r>
        <w:rPr>
          <w:rFonts w:hint="eastAsia" w:ascii="仿宋_GB2312" w:hAnsi="黑体" w:eastAsia="仿宋_GB2312" w:cs="仿宋_GB2312"/>
          <w:sz w:val="32"/>
          <w:szCs w:val="32"/>
          <w:highlight w:val="none"/>
          <w:lang w:val="en-US" w:eastAsia="zh-CN"/>
        </w:rPr>
        <w:t>1419.16</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hint="eastAsia" w:ascii="仿宋_GB2312" w:hAnsi="黑体" w:eastAsia="仿宋_GB2312"/>
          <w:sz w:val="32"/>
          <w:szCs w:val="32"/>
          <w:highlight w:val="none"/>
          <w:u w:val="none"/>
          <w:lang w:eastAsia="zh-CN"/>
        </w:rPr>
      </w:pPr>
      <w:r>
        <w:rPr>
          <w:rFonts w:hint="eastAsia" w:ascii="仿宋_GB2312" w:hAnsi="黑体" w:eastAsia="仿宋_GB2312"/>
          <w:sz w:val="32"/>
          <w:szCs w:val="32"/>
          <w:highlight w:val="none"/>
          <w:u w:val="none"/>
          <w:lang w:eastAsia="zh-CN"/>
        </w:rPr>
        <w:t>其中，重点项目预算绩效情况：</w:t>
      </w:r>
    </w:p>
    <w:p>
      <w:pPr>
        <w:ind w:firstLine="640" w:firstLineChars="200"/>
        <w:rPr>
          <w:rFonts w:hint="eastAsia" w:ascii="仿宋_GB2312" w:hAnsi="黑体" w:eastAsia="仿宋_GB2312" w:cs="仿宋_GB2312"/>
          <w:sz w:val="32"/>
          <w:szCs w:val="32"/>
          <w:highlight w:val="none"/>
          <w:u w:val="none"/>
          <w:lang w:eastAsia="zh-CN"/>
        </w:rPr>
      </w:pPr>
      <w:r>
        <w:rPr>
          <w:rFonts w:hint="eastAsia" w:ascii="仿宋_GB2312" w:hAnsi="黑体" w:eastAsia="仿宋_GB2312"/>
          <w:sz w:val="32"/>
          <w:szCs w:val="32"/>
          <w:highlight w:val="none"/>
          <w:u w:val="none"/>
          <w:lang w:val="en-US" w:eastAsia="zh-CN"/>
        </w:rPr>
        <w:t>1.艺术海南—2022（首届）海南自贸港国际艺术展活动</w:t>
      </w:r>
      <w:r>
        <w:rPr>
          <w:rFonts w:hint="eastAsia" w:ascii="仿宋_GB2312" w:hAnsi="黑体" w:eastAsia="仿宋_GB2312" w:cs="仿宋_GB2312"/>
          <w:sz w:val="32"/>
          <w:szCs w:val="32"/>
          <w:highlight w:val="none"/>
          <w:u w:val="none"/>
          <w:lang w:eastAsia="zh-CN"/>
        </w:rPr>
        <w:t>项目，预算安排</w:t>
      </w:r>
      <w:r>
        <w:rPr>
          <w:rFonts w:hint="eastAsia" w:ascii="仿宋_GB2312" w:hAnsi="黑体" w:eastAsia="仿宋_GB2312" w:cs="仿宋_GB2312"/>
          <w:sz w:val="32"/>
          <w:szCs w:val="32"/>
          <w:highlight w:val="none"/>
          <w:u w:val="none"/>
          <w:lang w:val="en-US" w:eastAsia="zh-CN"/>
        </w:rPr>
        <w:t>97.35</w:t>
      </w:r>
      <w:r>
        <w:rPr>
          <w:rFonts w:hint="eastAsia" w:ascii="仿宋_GB2312" w:hAnsi="黑体" w:eastAsia="仿宋_GB2312" w:cs="仿宋_GB2312"/>
          <w:sz w:val="32"/>
          <w:szCs w:val="32"/>
          <w:highlight w:val="none"/>
          <w:u w:val="none"/>
          <w:lang w:eastAsia="zh-CN"/>
        </w:rPr>
        <w:t>万元，主要用于</w:t>
      </w:r>
      <w:r>
        <w:rPr>
          <w:rFonts w:hint="eastAsia" w:ascii="仿宋_GB2312" w:hAnsi="黑体" w:eastAsia="仿宋_GB2312"/>
          <w:sz w:val="32"/>
          <w:szCs w:val="32"/>
          <w:highlight w:val="none"/>
          <w:u w:val="none"/>
          <w:lang w:val="en-US" w:eastAsia="zh-CN"/>
        </w:rPr>
        <w:t>艺术展活动</w:t>
      </w:r>
      <w:r>
        <w:rPr>
          <w:rFonts w:hint="eastAsia" w:ascii="仿宋_GB2312" w:hAnsi="黑体" w:eastAsia="仿宋_GB2312" w:cs="仿宋_GB2312"/>
          <w:sz w:val="32"/>
          <w:szCs w:val="32"/>
          <w:highlight w:val="none"/>
          <w:u w:val="none"/>
          <w:lang w:eastAsia="zh-CN"/>
        </w:rPr>
        <w:t>策展办展支出，绩效目标是：成功举办</w:t>
      </w:r>
      <w:r>
        <w:rPr>
          <w:rFonts w:hint="eastAsia" w:ascii="仿宋_GB2312" w:hAnsi="黑体" w:eastAsia="仿宋_GB2312"/>
          <w:sz w:val="32"/>
          <w:szCs w:val="32"/>
          <w:highlight w:val="none"/>
          <w:u w:val="none"/>
          <w:lang w:val="en-US" w:eastAsia="zh-CN"/>
        </w:rPr>
        <w:t>2022（首届）海南自贸港国际艺术展</w:t>
      </w:r>
      <w:r>
        <w:rPr>
          <w:rFonts w:hint="eastAsia" w:ascii="仿宋_GB2312" w:hAnsi="黑体" w:eastAsia="仿宋_GB2312" w:cs="仿宋_GB2312"/>
          <w:sz w:val="32"/>
          <w:szCs w:val="32"/>
          <w:highlight w:val="none"/>
          <w:u w:val="none"/>
          <w:lang w:eastAsia="zh-CN"/>
        </w:rPr>
        <w:t>活动，展出国内外作品</w:t>
      </w:r>
      <w:r>
        <w:rPr>
          <w:rFonts w:hint="eastAsia" w:ascii="仿宋_GB2312" w:hAnsi="黑体" w:eastAsia="仿宋_GB2312" w:cs="仿宋_GB2312"/>
          <w:sz w:val="32"/>
          <w:szCs w:val="32"/>
          <w:highlight w:val="none"/>
          <w:u w:val="none"/>
          <w:lang w:val="en-US" w:eastAsia="zh-CN"/>
        </w:rPr>
        <w:t>100件，</w:t>
      </w:r>
      <w:r>
        <w:rPr>
          <w:rFonts w:hint="eastAsia" w:ascii="仿宋_GB2312" w:hAnsi="黑体" w:eastAsia="仿宋_GB2312" w:cs="仿宋_GB2312"/>
          <w:sz w:val="32"/>
          <w:szCs w:val="32"/>
          <w:highlight w:val="none"/>
          <w:u w:val="none"/>
          <w:lang w:eastAsia="zh-CN"/>
        </w:rPr>
        <w:t>满足海南民众和游客对艺术的需求。</w:t>
      </w:r>
    </w:p>
    <w:p>
      <w:pPr>
        <w:ind w:firstLine="640" w:firstLineChars="200"/>
        <w:rPr>
          <w:rFonts w:hint="eastAsia" w:ascii="仿宋_GB2312" w:hAnsi="黑体" w:eastAsia="仿宋_GB2312" w:cs="仿宋_GB2312"/>
          <w:sz w:val="32"/>
          <w:szCs w:val="32"/>
          <w:highlight w:val="none"/>
          <w:u w:val="none"/>
          <w:lang w:eastAsia="zh-CN"/>
        </w:rPr>
      </w:pPr>
      <w:r>
        <w:rPr>
          <w:rFonts w:hint="eastAsia" w:ascii="仿宋_GB2312" w:hAnsi="黑体" w:eastAsia="仿宋_GB2312" w:cs="仿宋_GB2312"/>
          <w:sz w:val="32"/>
          <w:szCs w:val="32"/>
          <w:highlight w:val="none"/>
          <w:u w:val="none"/>
          <w:lang w:val="en-US" w:eastAsia="zh-CN"/>
        </w:rPr>
        <w:t>2.</w:t>
      </w:r>
      <w:r>
        <w:rPr>
          <w:rFonts w:hint="eastAsia" w:ascii="仿宋_GB2312" w:hAnsi="黑体" w:eastAsia="仿宋_GB2312" w:cs="仿宋_GB2312"/>
          <w:sz w:val="32"/>
          <w:szCs w:val="32"/>
          <w:u w:val="none"/>
        </w:rPr>
        <w:t>文联日常事务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rPr>
        <w:t>140.86</w:t>
      </w:r>
      <w:r>
        <w:rPr>
          <w:rFonts w:hint="eastAsia" w:ascii="仿宋_GB2312" w:hAnsi="黑体" w:eastAsia="仿宋_GB2312" w:cs="仿宋_GB2312"/>
          <w:sz w:val="32"/>
          <w:szCs w:val="32"/>
          <w:u w:val="none"/>
          <w:lang w:eastAsia="zh-CN"/>
        </w:rPr>
        <w:t>万元，主要用于文联与各省级文艺家协会日常运行的开支，绩效目标是：根据部门职能职责，保障其机构正常运转、完成日常工作任务。</w:t>
      </w:r>
    </w:p>
    <w:p>
      <w:pPr>
        <w:ind w:firstLine="640" w:firstLineChars="200"/>
        <w:rPr>
          <w:rFonts w:hint="eastAsia" w:ascii="黑体" w:hAnsi="黑体" w:eastAsia="黑体"/>
          <w:b/>
          <w:sz w:val="32"/>
          <w:szCs w:val="32"/>
          <w:highlight w:val="none"/>
        </w:rPr>
      </w:pPr>
      <w:r>
        <w:rPr>
          <w:rFonts w:hint="eastAsia" w:ascii="仿宋_GB2312" w:hAnsi="黑体" w:eastAsia="仿宋_GB2312" w:cs="仿宋_GB2312"/>
          <w:sz w:val="32"/>
          <w:szCs w:val="32"/>
          <w:highlight w:val="none"/>
          <w:u w:val="none"/>
          <w:lang w:val="en-US" w:eastAsia="zh-CN"/>
        </w:rPr>
        <w:t>3.</w:t>
      </w:r>
      <w:r>
        <w:rPr>
          <w:rFonts w:hint="default" w:ascii="仿宋_GB2312" w:hAnsi="黑体" w:eastAsia="仿宋_GB2312" w:cs="仿宋_GB2312"/>
          <w:sz w:val="32"/>
          <w:szCs w:val="32"/>
          <w:highlight w:val="none"/>
          <w:u w:val="none"/>
          <w:lang w:val="en-US" w:eastAsia="zh-CN"/>
        </w:rPr>
        <w:t>自贸之春--海南自贸港建设成果展暨全国美术名家作品展活动</w:t>
      </w:r>
      <w:r>
        <w:rPr>
          <w:rFonts w:hint="eastAsia" w:ascii="仿宋_GB2312" w:hAnsi="黑体" w:eastAsia="仿宋_GB2312" w:cs="仿宋_GB2312"/>
          <w:sz w:val="32"/>
          <w:szCs w:val="32"/>
          <w:highlight w:val="none"/>
          <w:u w:val="none"/>
          <w:lang w:eastAsia="zh-CN"/>
        </w:rPr>
        <w:t>项目，预算安排</w:t>
      </w:r>
      <w:r>
        <w:rPr>
          <w:rFonts w:hint="eastAsia" w:ascii="仿宋_GB2312" w:hAnsi="黑体" w:eastAsia="仿宋_GB2312" w:cs="仿宋_GB2312"/>
          <w:sz w:val="32"/>
          <w:szCs w:val="32"/>
          <w:highlight w:val="none"/>
          <w:u w:val="none"/>
        </w:rPr>
        <w:t>371.62</w:t>
      </w:r>
      <w:r>
        <w:rPr>
          <w:rFonts w:hint="eastAsia" w:ascii="仿宋_GB2312" w:hAnsi="黑体" w:eastAsia="仿宋_GB2312" w:cs="仿宋_GB2312"/>
          <w:sz w:val="32"/>
          <w:szCs w:val="32"/>
          <w:highlight w:val="none"/>
          <w:u w:val="none"/>
          <w:lang w:eastAsia="zh-CN"/>
        </w:rPr>
        <w:t>万元，主要用于举办展览的场租、装裱、作品运输等支出，绩效目标是：根据活动的总体要求，协调中国美协组织全国美术名家到海南开展采风写生创作，并将100件美术作品在海南成功展出。</w:t>
      </w:r>
    </w:p>
    <w:p>
      <w:pPr>
        <w:numPr>
          <w:ilvl w:val="0"/>
          <w:numId w:val="9"/>
        </w:numPr>
        <w:jc w:val="center"/>
        <w:rPr>
          <w:rFonts w:hint="eastAsia" w:ascii="黑体" w:hAnsi="黑体" w:eastAsia="黑体"/>
          <w:b/>
          <w:sz w:val="32"/>
          <w:szCs w:val="32"/>
          <w:highlight w:val="none"/>
        </w:rPr>
      </w:pPr>
      <w:r>
        <w:rPr>
          <w:rFonts w:hint="eastAsia" w:ascii="黑体" w:hAnsi="黑体" w:eastAsia="黑体"/>
          <w:b/>
          <w:sz w:val="32"/>
          <w:szCs w:val="32"/>
          <w:highlight w:val="none"/>
        </w:rPr>
        <w:t xml:space="preserve"> 名词解释</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highlight w:val="none"/>
        </w:rPr>
      </w:pPr>
    </w:p>
    <w:p>
      <w:pPr>
        <w:ind w:firstLine="640" w:firstLineChars="200"/>
        <w:jc w:val="left"/>
        <w:rPr>
          <w:rFonts w:ascii="仿宋_GB2312" w:hAnsi="黑体" w:eastAsia="仿宋_GB2312" w:cs="仿宋_GB2312"/>
          <w:sz w:val="32"/>
          <w:szCs w:val="32"/>
          <w:highlight w:val="none"/>
        </w:rPr>
      </w:pPr>
    </w:p>
    <w:sectPr>
      <w:head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267B7"/>
    <w:multiLevelType w:val="singleLevel"/>
    <w:tmpl w:val="805267B7"/>
    <w:lvl w:ilvl="0" w:tentative="0">
      <w:start w:val="6"/>
      <w:numFmt w:val="decimal"/>
      <w:suff w:val="space"/>
      <w:lvlText w:val="(%1)"/>
      <w:lvlJc w:val="left"/>
    </w:lvl>
  </w:abstractNum>
  <w:abstractNum w:abstractNumId="1">
    <w:nsid w:val="E7E86DBC"/>
    <w:multiLevelType w:val="singleLevel"/>
    <w:tmpl w:val="E7E86DBC"/>
    <w:lvl w:ilvl="0" w:tentative="0">
      <w:start w:val="4"/>
      <w:numFmt w:val="chineseCounting"/>
      <w:suff w:val="space"/>
      <w:lvlText w:val="第%1部分"/>
      <w:lvlJc w:val="left"/>
      <w:rPr>
        <w:rFonts w:hint="eastAsia"/>
      </w:rPr>
    </w:lvl>
  </w:abstractNum>
  <w:abstractNum w:abstractNumId="2">
    <w:nsid w:val="0053208E"/>
    <w:multiLevelType w:val="multilevel"/>
    <w:tmpl w:val="0053208E"/>
    <w:lvl w:ilvl="0" w:tentative="0">
      <w:start w:val="1"/>
      <w:numFmt w:val="decimal"/>
      <w:lvlText w:val="（%1）"/>
      <w:lvlJc w:val="left"/>
      <w:pPr>
        <w:ind w:left="120" w:hanging="819"/>
      </w:pPr>
      <w:rPr>
        <w:rFonts w:hint="default" w:ascii="仿宋" w:hAnsi="仿宋" w:eastAsia="仿宋" w:cs="仿宋"/>
        <w:spacing w:val="5"/>
        <w:w w:val="99"/>
        <w:sz w:val="30"/>
        <w:szCs w:val="30"/>
        <w:lang w:val="zh-CN" w:eastAsia="zh-CN" w:bidi="zh-CN"/>
      </w:rPr>
    </w:lvl>
    <w:lvl w:ilvl="1" w:tentative="0">
      <w:start w:val="0"/>
      <w:numFmt w:val="bullet"/>
      <w:lvlText w:val="•"/>
      <w:lvlJc w:val="left"/>
      <w:pPr>
        <w:ind w:left="963" w:hanging="819"/>
      </w:pPr>
      <w:rPr>
        <w:rFonts w:hint="default"/>
        <w:lang w:val="zh-CN" w:eastAsia="zh-CN" w:bidi="zh-CN"/>
      </w:rPr>
    </w:lvl>
    <w:lvl w:ilvl="2" w:tentative="0">
      <w:start w:val="0"/>
      <w:numFmt w:val="bullet"/>
      <w:lvlText w:val="•"/>
      <w:lvlJc w:val="left"/>
      <w:pPr>
        <w:ind w:left="1807" w:hanging="819"/>
      </w:pPr>
      <w:rPr>
        <w:rFonts w:hint="default"/>
        <w:lang w:val="zh-CN" w:eastAsia="zh-CN" w:bidi="zh-CN"/>
      </w:rPr>
    </w:lvl>
    <w:lvl w:ilvl="3" w:tentative="0">
      <w:start w:val="0"/>
      <w:numFmt w:val="bullet"/>
      <w:lvlText w:val="•"/>
      <w:lvlJc w:val="left"/>
      <w:pPr>
        <w:ind w:left="2650" w:hanging="819"/>
      </w:pPr>
      <w:rPr>
        <w:rFonts w:hint="default"/>
        <w:lang w:val="zh-CN" w:eastAsia="zh-CN" w:bidi="zh-CN"/>
      </w:rPr>
    </w:lvl>
    <w:lvl w:ilvl="4" w:tentative="0">
      <w:start w:val="0"/>
      <w:numFmt w:val="bullet"/>
      <w:lvlText w:val="•"/>
      <w:lvlJc w:val="left"/>
      <w:pPr>
        <w:ind w:left="3494" w:hanging="819"/>
      </w:pPr>
      <w:rPr>
        <w:rFonts w:hint="default"/>
        <w:lang w:val="zh-CN" w:eastAsia="zh-CN" w:bidi="zh-CN"/>
      </w:rPr>
    </w:lvl>
    <w:lvl w:ilvl="5" w:tentative="0">
      <w:start w:val="0"/>
      <w:numFmt w:val="bullet"/>
      <w:lvlText w:val="•"/>
      <w:lvlJc w:val="left"/>
      <w:pPr>
        <w:ind w:left="4337" w:hanging="819"/>
      </w:pPr>
      <w:rPr>
        <w:rFonts w:hint="default"/>
        <w:lang w:val="zh-CN" w:eastAsia="zh-CN" w:bidi="zh-CN"/>
      </w:rPr>
    </w:lvl>
    <w:lvl w:ilvl="6" w:tentative="0">
      <w:start w:val="0"/>
      <w:numFmt w:val="bullet"/>
      <w:lvlText w:val="•"/>
      <w:lvlJc w:val="left"/>
      <w:pPr>
        <w:ind w:left="5181" w:hanging="819"/>
      </w:pPr>
      <w:rPr>
        <w:rFonts w:hint="default"/>
        <w:lang w:val="zh-CN" w:eastAsia="zh-CN" w:bidi="zh-CN"/>
      </w:rPr>
    </w:lvl>
    <w:lvl w:ilvl="7" w:tentative="0">
      <w:start w:val="0"/>
      <w:numFmt w:val="bullet"/>
      <w:lvlText w:val="•"/>
      <w:lvlJc w:val="left"/>
      <w:pPr>
        <w:ind w:left="6024" w:hanging="819"/>
      </w:pPr>
      <w:rPr>
        <w:rFonts w:hint="default"/>
        <w:lang w:val="zh-CN" w:eastAsia="zh-CN" w:bidi="zh-CN"/>
      </w:rPr>
    </w:lvl>
    <w:lvl w:ilvl="8" w:tentative="0">
      <w:start w:val="0"/>
      <w:numFmt w:val="bullet"/>
      <w:lvlText w:val="•"/>
      <w:lvlJc w:val="left"/>
      <w:pPr>
        <w:ind w:left="6868" w:hanging="819"/>
      </w:pPr>
      <w:rPr>
        <w:rFonts w:hint="default"/>
        <w:lang w:val="zh-CN" w:eastAsia="zh-CN" w:bidi="zh-CN"/>
      </w:rPr>
    </w:lvl>
  </w:abstractNum>
  <w:abstractNum w:abstractNumId="3">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5">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6"/>
  </w:num>
  <w:num w:numId="3">
    <w:abstractNumId w:val="7"/>
  </w:num>
  <w:num w:numId="4">
    <w:abstractNumId w:val="8"/>
  </w:num>
  <w:num w:numId="5">
    <w:abstractNumId w:val="5"/>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77B14"/>
    <w:rsid w:val="019978BC"/>
    <w:rsid w:val="020967F0"/>
    <w:rsid w:val="027402B3"/>
    <w:rsid w:val="02A209F3"/>
    <w:rsid w:val="0337613C"/>
    <w:rsid w:val="03C07382"/>
    <w:rsid w:val="048900BC"/>
    <w:rsid w:val="059B2D0E"/>
    <w:rsid w:val="06936FD0"/>
    <w:rsid w:val="07AF5C1D"/>
    <w:rsid w:val="080A5070"/>
    <w:rsid w:val="083D71F3"/>
    <w:rsid w:val="084762C4"/>
    <w:rsid w:val="08D31906"/>
    <w:rsid w:val="0A8455AD"/>
    <w:rsid w:val="0A99092D"/>
    <w:rsid w:val="0B2E213A"/>
    <w:rsid w:val="0B8213C1"/>
    <w:rsid w:val="0BBC2B25"/>
    <w:rsid w:val="0C3C3C66"/>
    <w:rsid w:val="0CCE2B10"/>
    <w:rsid w:val="0E2774A7"/>
    <w:rsid w:val="0E5D2A99"/>
    <w:rsid w:val="0ED308B1"/>
    <w:rsid w:val="10256CA9"/>
    <w:rsid w:val="10B55778"/>
    <w:rsid w:val="111211D7"/>
    <w:rsid w:val="129739A4"/>
    <w:rsid w:val="1347361C"/>
    <w:rsid w:val="13622204"/>
    <w:rsid w:val="136C3EED"/>
    <w:rsid w:val="13E9022F"/>
    <w:rsid w:val="14040CF5"/>
    <w:rsid w:val="14A73118"/>
    <w:rsid w:val="14C111AC"/>
    <w:rsid w:val="14F450DE"/>
    <w:rsid w:val="15B66837"/>
    <w:rsid w:val="16161084"/>
    <w:rsid w:val="16326066"/>
    <w:rsid w:val="16D72F09"/>
    <w:rsid w:val="16DE6045"/>
    <w:rsid w:val="181B7921"/>
    <w:rsid w:val="1865221C"/>
    <w:rsid w:val="18DF0CDB"/>
    <w:rsid w:val="18DF60A5"/>
    <w:rsid w:val="1A9E33B7"/>
    <w:rsid w:val="1ADC1549"/>
    <w:rsid w:val="1B542BCF"/>
    <w:rsid w:val="1CB67369"/>
    <w:rsid w:val="1CBF2475"/>
    <w:rsid w:val="1D4A4435"/>
    <w:rsid w:val="1DA67191"/>
    <w:rsid w:val="1DF20628"/>
    <w:rsid w:val="1E74103D"/>
    <w:rsid w:val="1E7C3A2F"/>
    <w:rsid w:val="1E85241D"/>
    <w:rsid w:val="1EBC3110"/>
    <w:rsid w:val="1F4849A4"/>
    <w:rsid w:val="20887022"/>
    <w:rsid w:val="221A0011"/>
    <w:rsid w:val="2265586D"/>
    <w:rsid w:val="232E02C7"/>
    <w:rsid w:val="24AD50C6"/>
    <w:rsid w:val="25BA1A2C"/>
    <w:rsid w:val="25BF5294"/>
    <w:rsid w:val="275B0FEC"/>
    <w:rsid w:val="27C643EC"/>
    <w:rsid w:val="28CF3A40"/>
    <w:rsid w:val="2AC05D36"/>
    <w:rsid w:val="2B9B22FF"/>
    <w:rsid w:val="2BF437BD"/>
    <w:rsid w:val="2CE90E48"/>
    <w:rsid w:val="2F030729"/>
    <w:rsid w:val="2F922404"/>
    <w:rsid w:val="30BF25EC"/>
    <w:rsid w:val="31442AF1"/>
    <w:rsid w:val="324C2C78"/>
    <w:rsid w:val="327318E0"/>
    <w:rsid w:val="331A1D5C"/>
    <w:rsid w:val="334D3EDF"/>
    <w:rsid w:val="345E211C"/>
    <w:rsid w:val="34A02734"/>
    <w:rsid w:val="34A71D15"/>
    <w:rsid w:val="34AF1EA4"/>
    <w:rsid w:val="357A303A"/>
    <w:rsid w:val="35F920FC"/>
    <w:rsid w:val="36C97D20"/>
    <w:rsid w:val="37335AE2"/>
    <w:rsid w:val="3744384B"/>
    <w:rsid w:val="378A7424"/>
    <w:rsid w:val="38436C9B"/>
    <w:rsid w:val="38A10829"/>
    <w:rsid w:val="39CB0AA6"/>
    <w:rsid w:val="39D864CC"/>
    <w:rsid w:val="3A9923E8"/>
    <w:rsid w:val="3D016272"/>
    <w:rsid w:val="3D3E17FE"/>
    <w:rsid w:val="3D583BAC"/>
    <w:rsid w:val="3E067AAC"/>
    <w:rsid w:val="3E8B1E8E"/>
    <w:rsid w:val="4020195C"/>
    <w:rsid w:val="40F167F2"/>
    <w:rsid w:val="410D1152"/>
    <w:rsid w:val="427F7E2D"/>
    <w:rsid w:val="42B23D5F"/>
    <w:rsid w:val="44784B34"/>
    <w:rsid w:val="449B0822"/>
    <w:rsid w:val="4631143E"/>
    <w:rsid w:val="46335102"/>
    <w:rsid w:val="466F670E"/>
    <w:rsid w:val="46F53144"/>
    <w:rsid w:val="476D46F8"/>
    <w:rsid w:val="478A4254"/>
    <w:rsid w:val="485338EE"/>
    <w:rsid w:val="48BA66A8"/>
    <w:rsid w:val="493C6A78"/>
    <w:rsid w:val="496043E2"/>
    <w:rsid w:val="49B22896"/>
    <w:rsid w:val="4A0D5D1E"/>
    <w:rsid w:val="4B056896"/>
    <w:rsid w:val="4BC863A1"/>
    <w:rsid w:val="4C3103EA"/>
    <w:rsid w:val="4D185106"/>
    <w:rsid w:val="4D41311B"/>
    <w:rsid w:val="4FD16190"/>
    <w:rsid w:val="50443D3C"/>
    <w:rsid w:val="517B4CCE"/>
    <w:rsid w:val="52D4387D"/>
    <w:rsid w:val="53AA2830"/>
    <w:rsid w:val="54AF45A2"/>
    <w:rsid w:val="5503669C"/>
    <w:rsid w:val="56926CE4"/>
    <w:rsid w:val="56995A62"/>
    <w:rsid w:val="56E36785"/>
    <w:rsid w:val="57164471"/>
    <w:rsid w:val="5761173E"/>
    <w:rsid w:val="576F1DC6"/>
    <w:rsid w:val="57DB745C"/>
    <w:rsid w:val="584C2108"/>
    <w:rsid w:val="58AB32D2"/>
    <w:rsid w:val="58EF7663"/>
    <w:rsid w:val="59513E7A"/>
    <w:rsid w:val="5A5534F6"/>
    <w:rsid w:val="5BC87CF7"/>
    <w:rsid w:val="5C4E28F2"/>
    <w:rsid w:val="5D944335"/>
    <w:rsid w:val="5DB83AD2"/>
    <w:rsid w:val="5DDC3F2E"/>
    <w:rsid w:val="5ECF75EF"/>
    <w:rsid w:val="5F6B7317"/>
    <w:rsid w:val="5F993E84"/>
    <w:rsid w:val="5F9A1B3D"/>
    <w:rsid w:val="5FA86DAB"/>
    <w:rsid w:val="60917251"/>
    <w:rsid w:val="61BD7BD2"/>
    <w:rsid w:val="624A3B5C"/>
    <w:rsid w:val="62EE44E7"/>
    <w:rsid w:val="637D1D0F"/>
    <w:rsid w:val="63CD67F3"/>
    <w:rsid w:val="646F3406"/>
    <w:rsid w:val="668A0424"/>
    <w:rsid w:val="679413D5"/>
    <w:rsid w:val="67BF7F68"/>
    <w:rsid w:val="67ED56A6"/>
    <w:rsid w:val="685C1EF3"/>
    <w:rsid w:val="68C1444C"/>
    <w:rsid w:val="69036D4D"/>
    <w:rsid w:val="69177CA6"/>
    <w:rsid w:val="69280027"/>
    <w:rsid w:val="694E3F32"/>
    <w:rsid w:val="69D837FB"/>
    <w:rsid w:val="6A2A361C"/>
    <w:rsid w:val="6ABC4ECB"/>
    <w:rsid w:val="6B2325B8"/>
    <w:rsid w:val="6B413622"/>
    <w:rsid w:val="6C6B6BA9"/>
    <w:rsid w:val="6CC45EBD"/>
    <w:rsid w:val="6D6E26FD"/>
    <w:rsid w:val="6E176DA8"/>
    <w:rsid w:val="6E3D27C7"/>
    <w:rsid w:val="6E58315D"/>
    <w:rsid w:val="6F0F5F11"/>
    <w:rsid w:val="6F943F8D"/>
    <w:rsid w:val="6FC14D32"/>
    <w:rsid w:val="6FDB1131"/>
    <w:rsid w:val="6FEC0000"/>
    <w:rsid w:val="70271038"/>
    <w:rsid w:val="71325EE7"/>
    <w:rsid w:val="730D4085"/>
    <w:rsid w:val="73624CCE"/>
    <w:rsid w:val="73AA445A"/>
    <w:rsid w:val="743655B7"/>
    <w:rsid w:val="74566F42"/>
    <w:rsid w:val="748F3650"/>
    <w:rsid w:val="761107C1"/>
    <w:rsid w:val="763224E5"/>
    <w:rsid w:val="764F4741"/>
    <w:rsid w:val="76D637B8"/>
    <w:rsid w:val="77CB499F"/>
    <w:rsid w:val="782356F0"/>
    <w:rsid w:val="78AF42C1"/>
    <w:rsid w:val="798E3ED6"/>
    <w:rsid w:val="79DC3F75"/>
    <w:rsid w:val="7B7F61CD"/>
    <w:rsid w:val="7B9C6D7F"/>
    <w:rsid w:val="7BF736D2"/>
    <w:rsid w:val="7C4570C3"/>
    <w:rsid w:val="7CDE6F23"/>
    <w:rsid w:val="7DAA55FB"/>
    <w:rsid w:val="7EFDD520"/>
    <w:rsid w:val="7F547970"/>
    <w:rsid w:val="ABBF3834"/>
    <w:rsid w:val="D97F626E"/>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1"/>
    <w:pPr>
      <w:spacing w:before="283"/>
      <w:ind w:left="120" w:right="119" w:firstLine="64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lenovo</cp:lastModifiedBy>
  <cp:lastPrinted>2022-02-14T09:23:04Z</cp:lastPrinted>
  <dcterms:modified xsi:type="dcterms:W3CDTF">2022-02-14T09:30:18Z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FD3E956892654AF7B28AA1C2B2D3BF63</vt:lpwstr>
  </property>
</Properties>
</file>